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C0C0" w14:textId="77777777" w:rsidR="00812D16" w:rsidRPr="00F174D7" w:rsidRDefault="00812D16" w:rsidP="00A25442">
      <w:pPr>
        <w:outlineLvl w:val="0"/>
        <w:rPr>
          <w:b/>
          <w:noProof/>
          <w:szCs w:val="22"/>
        </w:rPr>
      </w:pPr>
    </w:p>
    <w:p w14:paraId="5B62668E" w14:textId="77777777" w:rsidR="00812D16" w:rsidRPr="00F174D7" w:rsidRDefault="00812D16" w:rsidP="00A25442">
      <w:pPr>
        <w:outlineLvl w:val="0"/>
        <w:rPr>
          <w:b/>
          <w:noProof/>
          <w:szCs w:val="22"/>
        </w:rPr>
      </w:pPr>
    </w:p>
    <w:p w14:paraId="6905497F" w14:textId="77777777" w:rsidR="00812D16" w:rsidRPr="00F174D7" w:rsidRDefault="00812D16" w:rsidP="00A25442">
      <w:pPr>
        <w:outlineLvl w:val="0"/>
        <w:rPr>
          <w:b/>
          <w:noProof/>
          <w:szCs w:val="22"/>
        </w:rPr>
      </w:pPr>
    </w:p>
    <w:p w14:paraId="0AE18D45" w14:textId="77777777" w:rsidR="00812D16" w:rsidRPr="00F174D7" w:rsidRDefault="00812D16" w:rsidP="00A25442">
      <w:pPr>
        <w:outlineLvl w:val="0"/>
        <w:rPr>
          <w:b/>
          <w:noProof/>
          <w:szCs w:val="22"/>
        </w:rPr>
      </w:pPr>
    </w:p>
    <w:p w14:paraId="09F53469" w14:textId="77777777" w:rsidR="00812D16" w:rsidRPr="00F174D7" w:rsidRDefault="00812D16" w:rsidP="00BC6DC2">
      <w:pPr>
        <w:outlineLvl w:val="0"/>
        <w:rPr>
          <w:b/>
          <w:noProof/>
          <w:szCs w:val="22"/>
        </w:rPr>
      </w:pPr>
    </w:p>
    <w:p w14:paraId="1EE8574B" w14:textId="77777777" w:rsidR="00812D16" w:rsidRPr="00F174D7" w:rsidRDefault="00812D16" w:rsidP="00635AC7">
      <w:pPr>
        <w:outlineLvl w:val="0"/>
        <w:rPr>
          <w:b/>
          <w:noProof/>
          <w:szCs w:val="22"/>
        </w:rPr>
      </w:pPr>
    </w:p>
    <w:p w14:paraId="5269A619" w14:textId="77777777" w:rsidR="00812D16" w:rsidRPr="00F174D7" w:rsidRDefault="00812D16" w:rsidP="00A25442">
      <w:pPr>
        <w:outlineLvl w:val="0"/>
        <w:rPr>
          <w:b/>
          <w:noProof/>
          <w:szCs w:val="22"/>
        </w:rPr>
      </w:pPr>
    </w:p>
    <w:p w14:paraId="3A15DC5B" w14:textId="77777777" w:rsidR="00812D16" w:rsidRPr="00F174D7" w:rsidRDefault="00812D16" w:rsidP="00BB5EF0">
      <w:pPr>
        <w:outlineLvl w:val="0"/>
        <w:rPr>
          <w:b/>
          <w:noProof/>
          <w:szCs w:val="22"/>
        </w:rPr>
      </w:pPr>
    </w:p>
    <w:p w14:paraId="73B36FA3" w14:textId="77777777" w:rsidR="00812D16" w:rsidRPr="00F174D7" w:rsidRDefault="00812D16" w:rsidP="006F11BD">
      <w:pPr>
        <w:outlineLvl w:val="0"/>
        <w:rPr>
          <w:b/>
          <w:noProof/>
          <w:szCs w:val="22"/>
        </w:rPr>
      </w:pPr>
    </w:p>
    <w:p w14:paraId="45CEC596" w14:textId="77777777" w:rsidR="00812D16" w:rsidRPr="00F174D7" w:rsidRDefault="00812D16" w:rsidP="004C0938">
      <w:pPr>
        <w:outlineLvl w:val="0"/>
        <w:rPr>
          <w:b/>
          <w:noProof/>
          <w:szCs w:val="22"/>
        </w:rPr>
      </w:pPr>
    </w:p>
    <w:p w14:paraId="287EF19F" w14:textId="77777777" w:rsidR="00812D16" w:rsidRPr="00F174D7" w:rsidRDefault="00812D16" w:rsidP="007B42D3">
      <w:pPr>
        <w:outlineLvl w:val="0"/>
        <w:rPr>
          <w:b/>
          <w:noProof/>
          <w:szCs w:val="22"/>
        </w:rPr>
      </w:pPr>
    </w:p>
    <w:p w14:paraId="29082A58" w14:textId="77777777" w:rsidR="00812D16" w:rsidRPr="00F174D7" w:rsidRDefault="00812D16" w:rsidP="00067B16">
      <w:pPr>
        <w:outlineLvl w:val="0"/>
        <w:rPr>
          <w:b/>
          <w:noProof/>
          <w:szCs w:val="22"/>
        </w:rPr>
      </w:pPr>
    </w:p>
    <w:p w14:paraId="394D33AE" w14:textId="77777777" w:rsidR="00812D16" w:rsidRPr="00F174D7" w:rsidRDefault="00812D16" w:rsidP="00067B16">
      <w:pPr>
        <w:outlineLvl w:val="0"/>
        <w:rPr>
          <w:b/>
          <w:noProof/>
          <w:szCs w:val="22"/>
        </w:rPr>
      </w:pPr>
    </w:p>
    <w:p w14:paraId="61C47F83" w14:textId="77777777" w:rsidR="00812D16" w:rsidRPr="00F174D7" w:rsidRDefault="00812D16" w:rsidP="00B3208E">
      <w:pPr>
        <w:outlineLvl w:val="0"/>
        <w:rPr>
          <w:b/>
          <w:noProof/>
          <w:szCs w:val="22"/>
        </w:rPr>
      </w:pPr>
    </w:p>
    <w:p w14:paraId="4A5CB49B" w14:textId="77777777" w:rsidR="00812D16" w:rsidRPr="00F174D7" w:rsidRDefault="00812D16" w:rsidP="00A26F79">
      <w:pPr>
        <w:outlineLvl w:val="0"/>
        <w:rPr>
          <w:b/>
          <w:noProof/>
          <w:szCs w:val="22"/>
        </w:rPr>
      </w:pPr>
    </w:p>
    <w:p w14:paraId="61898D5A" w14:textId="77777777" w:rsidR="00812D16" w:rsidRPr="00F174D7" w:rsidRDefault="00812D16" w:rsidP="008225EB">
      <w:pPr>
        <w:outlineLvl w:val="0"/>
        <w:rPr>
          <w:b/>
          <w:noProof/>
          <w:szCs w:val="22"/>
        </w:rPr>
      </w:pPr>
    </w:p>
    <w:p w14:paraId="750096E0" w14:textId="77777777" w:rsidR="00812D16" w:rsidRPr="00F174D7" w:rsidRDefault="00812D16" w:rsidP="008225EB">
      <w:pPr>
        <w:outlineLvl w:val="0"/>
        <w:rPr>
          <w:b/>
          <w:noProof/>
          <w:szCs w:val="22"/>
        </w:rPr>
      </w:pPr>
    </w:p>
    <w:p w14:paraId="32A8FFC5" w14:textId="77777777" w:rsidR="00812D16" w:rsidRPr="00F174D7" w:rsidRDefault="00812D16" w:rsidP="00A3136F">
      <w:pPr>
        <w:outlineLvl w:val="0"/>
        <w:rPr>
          <w:b/>
          <w:szCs w:val="22"/>
        </w:rPr>
      </w:pPr>
    </w:p>
    <w:p w14:paraId="1868EDBA" w14:textId="77777777" w:rsidR="00812D16" w:rsidRPr="00F174D7" w:rsidRDefault="00812D16" w:rsidP="000643D3">
      <w:pPr>
        <w:outlineLvl w:val="0"/>
        <w:rPr>
          <w:b/>
          <w:szCs w:val="22"/>
        </w:rPr>
      </w:pPr>
    </w:p>
    <w:p w14:paraId="0C74C527" w14:textId="77777777" w:rsidR="00812D16" w:rsidRPr="00F174D7" w:rsidRDefault="00812D16" w:rsidP="00412450">
      <w:pPr>
        <w:outlineLvl w:val="0"/>
        <w:rPr>
          <w:b/>
          <w:szCs w:val="22"/>
        </w:rPr>
      </w:pPr>
    </w:p>
    <w:p w14:paraId="76BC0EB4" w14:textId="77777777" w:rsidR="00812D16" w:rsidRPr="00F174D7" w:rsidRDefault="00812D16" w:rsidP="00412450">
      <w:pPr>
        <w:outlineLvl w:val="0"/>
        <w:rPr>
          <w:b/>
          <w:szCs w:val="22"/>
        </w:rPr>
      </w:pPr>
    </w:p>
    <w:p w14:paraId="278D0FAB" w14:textId="77777777" w:rsidR="00812D16" w:rsidRPr="00F174D7" w:rsidRDefault="00812D16" w:rsidP="00EB595B">
      <w:pPr>
        <w:outlineLvl w:val="0"/>
        <w:rPr>
          <w:b/>
          <w:szCs w:val="22"/>
        </w:rPr>
      </w:pPr>
    </w:p>
    <w:p w14:paraId="699EEBC2" w14:textId="77777777" w:rsidR="00812D16" w:rsidRPr="00F174D7" w:rsidRDefault="00812D16" w:rsidP="008A1008">
      <w:pPr>
        <w:jc w:val="center"/>
        <w:outlineLvl w:val="0"/>
        <w:rPr>
          <w:szCs w:val="22"/>
        </w:rPr>
      </w:pPr>
    </w:p>
    <w:p w14:paraId="10C76D1D" w14:textId="77777777" w:rsidR="00812D16" w:rsidRPr="00F174D7" w:rsidRDefault="00812D16" w:rsidP="00BC6DC2">
      <w:pPr>
        <w:jc w:val="center"/>
        <w:outlineLvl w:val="0"/>
        <w:rPr>
          <w:szCs w:val="22"/>
        </w:rPr>
      </w:pPr>
    </w:p>
    <w:p w14:paraId="4DB199C5" w14:textId="77777777" w:rsidR="00812D16" w:rsidRPr="00F174D7" w:rsidRDefault="00812D16" w:rsidP="00BC6DC2">
      <w:pPr>
        <w:jc w:val="center"/>
        <w:outlineLvl w:val="0"/>
        <w:rPr>
          <w:szCs w:val="22"/>
        </w:rPr>
      </w:pPr>
      <w:r w:rsidRPr="00F174D7">
        <w:rPr>
          <w:b/>
          <w:szCs w:val="22"/>
        </w:rPr>
        <w:t>SUMMARY OF PRODUCT CHARACTERISTICS</w:t>
      </w:r>
    </w:p>
    <w:p w14:paraId="31650929" w14:textId="77777777" w:rsidR="00033D26" w:rsidRPr="00F174D7" w:rsidRDefault="00812D16" w:rsidP="008225EB">
      <w:pPr>
        <w:rPr>
          <w:szCs w:val="22"/>
        </w:rPr>
      </w:pPr>
      <w:r w:rsidRPr="00F174D7">
        <w:rPr>
          <w:color w:val="008000"/>
          <w:szCs w:val="22"/>
        </w:rPr>
        <w:br w:type="page"/>
      </w:r>
    </w:p>
    <w:p w14:paraId="0C1D47A2" w14:textId="77777777" w:rsidR="00812D16" w:rsidRPr="00F174D7" w:rsidRDefault="00812D16" w:rsidP="001B04D0">
      <w:pPr>
        <w:suppressAutoHyphens/>
        <w:rPr>
          <w:noProof/>
          <w:color w:val="008000"/>
          <w:szCs w:val="22"/>
        </w:rPr>
      </w:pPr>
      <w:r w:rsidRPr="00F174D7">
        <w:rPr>
          <w:b/>
          <w:noProof/>
          <w:szCs w:val="22"/>
        </w:rPr>
        <w:lastRenderedPageBreak/>
        <w:t>1.</w:t>
      </w:r>
      <w:r w:rsidRPr="00F174D7">
        <w:rPr>
          <w:b/>
          <w:noProof/>
          <w:szCs w:val="22"/>
        </w:rPr>
        <w:tab/>
        <w:t xml:space="preserve">NAME OF </w:t>
      </w:r>
      <w:r w:rsidRPr="00F174D7">
        <w:rPr>
          <w:b/>
          <w:szCs w:val="22"/>
        </w:rPr>
        <w:t>THE</w:t>
      </w:r>
      <w:r w:rsidRPr="00F174D7">
        <w:rPr>
          <w:b/>
          <w:noProof/>
          <w:szCs w:val="22"/>
        </w:rPr>
        <w:t xml:space="preserve"> MEDICINAL PRODUCT</w:t>
      </w:r>
    </w:p>
    <w:p w14:paraId="5A51CE3E" w14:textId="77777777" w:rsidR="00812D16" w:rsidRPr="00F174D7" w:rsidRDefault="00812D16" w:rsidP="00BC6DC2">
      <w:pPr>
        <w:rPr>
          <w:iCs/>
          <w:noProof/>
          <w:szCs w:val="22"/>
        </w:rPr>
      </w:pPr>
    </w:p>
    <w:p w14:paraId="0F6209CD" w14:textId="77777777" w:rsidR="0067792F" w:rsidRPr="00BC37B6" w:rsidRDefault="0035374D" w:rsidP="0067792F">
      <w:pPr>
        <w:suppressAutoHyphens/>
        <w:rPr>
          <w:noProof/>
          <w:szCs w:val="22"/>
          <w:lang w:val="fr-BE"/>
        </w:rPr>
      </w:pPr>
      <w:r w:rsidRPr="0035374D">
        <w:rPr>
          <w:noProof/>
          <w:szCs w:val="22"/>
          <w:lang w:val="fr-BE"/>
        </w:rPr>
        <w:t>TINAZOL</w:t>
      </w:r>
      <w:r w:rsidRPr="0035374D">
        <w:rPr>
          <w:noProof/>
          <w:szCs w:val="22"/>
          <w:vertAlign w:val="superscript"/>
          <w:lang w:val="fr-BE"/>
        </w:rPr>
        <w:t>®</w:t>
      </w:r>
      <w:r w:rsidRPr="0035374D">
        <w:rPr>
          <w:noProof/>
          <w:szCs w:val="22"/>
          <w:lang w:val="fr-BE"/>
        </w:rPr>
        <w:t xml:space="preserve"> tablets </w:t>
      </w:r>
    </w:p>
    <w:p w14:paraId="3F1EB8D1" w14:textId="77777777" w:rsidR="00812D16" w:rsidRPr="00BC37B6" w:rsidRDefault="00812D16" w:rsidP="008225EB">
      <w:pPr>
        <w:rPr>
          <w:iCs/>
          <w:noProof/>
          <w:szCs w:val="22"/>
          <w:lang w:val="fr-BE"/>
        </w:rPr>
      </w:pPr>
    </w:p>
    <w:p w14:paraId="18A4FE5F" w14:textId="77777777" w:rsidR="00812D16" w:rsidRPr="00BC37B6" w:rsidRDefault="00812D16" w:rsidP="008225EB">
      <w:pPr>
        <w:rPr>
          <w:iCs/>
          <w:noProof/>
          <w:szCs w:val="22"/>
          <w:lang w:val="fr-BE"/>
        </w:rPr>
      </w:pPr>
    </w:p>
    <w:p w14:paraId="0CBF5131" w14:textId="77777777" w:rsidR="00812D16" w:rsidRPr="007E4656" w:rsidRDefault="00812D16" w:rsidP="00A3136F">
      <w:pPr>
        <w:suppressAutoHyphens/>
        <w:ind w:left="567" w:hanging="567"/>
        <w:rPr>
          <w:noProof/>
          <w:szCs w:val="22"/>
          <w:lang w:val="fr-BE"/>
        </w:rPr>
      </w:pPr>
      <w:r w:rsidRPr="007E4656">
        <w:rPr>
          <w:b/>
          <w:noProof/>
          <w:szCs w:val="22"/>
          <w:lang w:val="fr-BE"/>
        </w:rPr>
        <w:t>2.</w:t>
      </w:r>
      <w:r w:rsidRPr="007E4656">
        <w:rPr>
          <w:b/>
          <w:noProof/>
          <w:szCs w:val="22"/>
          <w:lang w:val="fr-BE"/>
        </w:rPr>
        <w:tab/>
        <w:t>QUALITATIVE AND QUANTITATIVE COMPOSITION</w:t>
      </w:r>
    </w:p>
    <w:p w14:paraId="229A6DA4" w14:textId="77777777" w:rsidR="00812D16" w:rsidRPr="007E4656" w:rsidRDefault="00812D16" w:rsidP="000643D3">
      <w:pPr>
        <w:rPr>
          <w:iCs/>
          <w:noProof/>
          <w:szCs w:val="22"/>
          <w:lang w:val="fr-BE"/>
        </w:rPr>
      </w:pPr>
    </w:p>
    <w:p w14:paraId="196CDFD5" w14:textId="4ACA32AA" w:rsidR="00812D16" w:rsidRPr="00BC37B6" w:rsidRDefault="006C7BF0" w:rsidP="008225EB">
      <w:pPr>
        <w:rPr>
          <w:szCs w:val="22"/>
          <w:lang w:val="en-US"/>
        </w:rPr>
      </w:pPr>
      <w:r>
        <w:rPr>
          <w:szCs w:val="22"/>
          <w:lang w:val="en-US"/>
        </w:rPr>
        <w:t xml:space="preserve">The active substance is tinidazole. </w:t>
      </w:r>
      <w:r w:rsidR="00C83B5A">
        <w:rPr>
          <w:szCs w:val="22"/>
          <w:lang w:val="en-US"/>
        </w:rPr>
        <w:t xml:space="preserve">Each film-coated tablet contains </w:t>
      </w:r>
      <w:r w:rsidRPr="0035374D">
        <w:rPr>
          <w:szCs w:val="22"/>
          <w:lang w:val="en-US"/>
        </w:rPr>
        <w:t>500 mg</w:t>
      </w:r>
      <w:r>
        <w:rPr>
          <w:szCs w:val="22"/>
          <w:lang w:val="en-US"/>
        </w:rPr>
        <w:t xml:space="preserve"> of </w:t>
      </w:r>
      <w:r w:rsidR="00C83B5A">
        <w:rPr>
          <w:szCs w:val="22"/>
          <w:lang w:val="en-US"/>
        </w:rPr>
        <w:t>t</w:t>
      </w:r>
      <w:r w:rsidR="0035374D" w:rsidRPr="0035374D">
        <w:rPr>
          <w:szCs w:val="22"/>
          <w:lang w:val="en-US"/>
        </w:rPr>
        <w:t>inidazole</w:t>
      </w:r>
      <w:r>
        <w:rPr>
          <w:szCs w:val="22"/>
          <w:lang w:val="en-US"/>
        </w:rPr>
        <w:t xml:space="preserve"> BP</w:t>
      </w:r>
      <w:r w:rsidR="002C413D">
        <w:rPr>
          <w:szCs w:val="22"/>
          <w:lang w:val="en-US"/>
        </w:rPr>
        <w:t>.</w:t>
      </w:r>
    </w:p>
    <w:p w14:paraId="00D3AB26" w14:textId="5A750F72" w:rsidR="002C413D" w:rsidRDefault="002C413D" w:rsidP="006B4557">
      <w:pPr>
        <w:outlineLvl w:val="0"/>
        <w:rPr>
          <w:noProof/>
          <w:szCs w:val="22"/>
          <w:lang w:val="en-US"/>
        </w:rPr>
      </w:pPr>
      <w:r>
        <w:rPr>
          <w:noProof/>
          <w:szCs w:val="22"/>
          <w:lang w:val="en-US"/>
        </w:rPr>
        <w:t>Excipients with know</w:t>
      </w:r>
      <w:r w:rsidR="00592458">
        <w:rPr>
          <w:noProof/>
          <w:szCs w:val="22"/>
          <w:lang w:val="en-US"/>
        </w:rPr>
        <w:t>n</w:t>
      </w:r>
      <w:r>
        <w:rPr>
          <w:noProof/>
          <w:szCs w:val="22"/>
          <w:lang w:val="en-US"/>
        </w:rPr>
        <w:t xml:space="preserve"> effect : this drug contains </w:t>
      </w:r>
      <w:r w:rsidRPr="00E9632F">
        <w:rPr>
          <w:noProof/>
          <w:szCs w:val="22"/>
          <w:lang w:val="en-US"/>
        </w:rPr>
        <w:t xml:space="preserve">sodium methylparahydroxybenzoate </w:t>
      </w:r>
      <w:r>
        <w:rPr>
          <w:noProof/>
          <w:szCs w:val="22"/>
          <w:lang w:val="en-US"/>
        </w:rPr>
        <w:t>and</w:t>
      </w:r>
      <w:r w:rsidRPr="00E9632F">
        <w:rPr>
          <w:noProof/>
          <w:szCs w:val="22"/>
          <w:lang w:val="en-US"/>
        </w:rPr>
        <w:t xml:space="preserve"> sodium propylparahydroxybenzoate</w:t>
      </w:r>
      <w:r>
        <w:rPr>
          <w:noProof/>
          <w:szCs w:val="22"/>
          <w:lang w:val="en-US"/>
        </w:rPr>
        <w:t>, see section 4.4.</w:t>
      </w:r>
    </w:p>
    <w:p w14:paraId="53599031" w14:textId="77777777" w:rsidR="00812D16" w:rsidRPr="00F174D7" w:rsidRDefault="00812D16" w:rsidP="006B4557">
      <w:pPr>
        <w:outlineLvl w:val="0"/>
        <w:rPr>
          <w:noProof/>
          <w:szCs w:val="22"/>
        </w:rPr>
      </w:pPr>
      <w:r w:rsidRPr="00F174D7">
        <w:rPr>
          <w:noProof/>
          <w:szCs w:val="22"/>
        </w:rPr>
        <w:t>For the full list of excipients, see section 6.1.</w:t>
      </w:r>
    </w:p>
    <w:p w14:paraId="2DFD9B45" w14:textId="77777777" w:rsidR="00812D16" w:rsidRPr="00F174D7" w:rsidRDefault="00812D16" w:rsidP="00635AC7">
      <w:pPr>
        <w:rPr>
          <w:noProof/>
          <w:szCs w:val="22"/>
          <w:lang w:val="en-US"/>
        </w:rPr>
      </w:pPr>
    </w:p>
    <w:p w14:paraId="753A617B" w14:textId="77777777" w:rsidR="00812D16" w:rsidRPr="00F174D7" w:rsidRDefault="00812D16" w:rsidP="00A25442">
      <w:pPr>
        <w:rPr>
          <w:noProof/>
          <w:szCs w:val="22"/>
        </w:rPr>
      </w:pPr>
    </w:p>
    <w:p w14:paraId="5BBAAD75" w14:textId="77777777" w:rsidR="00812D16" w:rsidRPr="00F174D7" w:rsidRDefault="00812D16" w:rsidP="00BB5EF0">
      <w:pPr>
        <w:suppressAutoHyphens/>
        <w:ind w:left="567" w:hanging="567"/>
        <w:rPr>
          <w:caps/>
          <w:noProof/>
          <w:szCs w:val="22"/>
        </w:rPr>
      </w:pPr>
      <w:r w:rsidRPr="00F174D7">
        <w:rPr>
          <w:b/>
          <w:noProof/>
          <w:szCs w:val="22"/>
        </w:rPr>
        <w:t>3.</w:t>
      </w:r>
      <w:r w:rsidRPr="00F174D7">
        <w:rPr>
          <w:b/>
          <w:noProof/>
          <w:szCs w:val="22"/>
        </w:rPr>
        <w:tab/>
        <w:t xml:space="preserve">PHARMACEUTICAL </w:t>
      </w:r>
      <w:r w:rsidR="00855481" w:rsidRPr="00F174D7">
        <w:rPr>
          <w:b/>
          <w:noProof/>
          <w:szCs w:val="22"/>
        </w:rPr>
        <w:t>FORM</w:t>
      </w:r>
    </w:p>
    <w:p w14:paraId="239D526C" w14:textId="77777777" w:rsidR="00812D16" w:rsidRPr="00F174D7" w:rsidRDefault="00812D16" w:rsidP="006F11BD">
      <w:pPr>
        <w:rPr>
          <w:noProof/>
          <w:szCs w:val="22"/>
        </w:rPr>
      </w:pPr>
    </w:p>
    <w:p w14:paraId="656FC8CE" w14:textId="77777777" w:rsidR="0067792F" w:rsidRPr="007E4656" w:rsidRDefault="0067792F" w:rsidP="006B4557">
      <w:pPr>
        <w:rPr>
          <w:noProof/>
          <w:szCs w:val="22"/>
          <w:lang w:val="en-US"/>
        </w:rPr>
      </w:pPr>
      <w:r w:rsidRPr="007E4656">
        <w:rPr>
          <w:noProof/>
          <w:szCs w:val="22"/>
          <w:lang w:val="en-US"/>
        </w:rPr>
        <w:t>Film-coated tablets.</w:t>
      </w:r>
    </w:p>
    <w:p w14:paraId="0C77834C" w14:textId="4A06829E" w:rsidR="00723205" w:rsidRPr="00F174D7" w:rsidRDefault="00723205" w:rsidP="006B4557">
      <w:pPr>
        <w:rPr>
          <w:noProof/>
          <w:szCs w:val="22"/>
          <w:lang w:val="en-US"/>
        </w:rPr>
      </w:pPr>
      <w:r w:rsidRPr="00F174D7">
        <w:rPr>
          <w:noProof/>
          <w:szCs w:val="22"/>
          <w:lang w:val="en-US"/>
        </w:rPr>
        <w:t>White, round, biconvex &amp; film-co</w:t>
      </w:r>
      <w:r w:rsidR="00592458">
        <w:rPr>
          <w:noProof/>
          <w:szCs w:val="22"/>
          <w:lang w:val="en-US"/>
        </w:rPr>
        <w:t>a</w:t>
      </w:r>
      <w:r w:rsidRPr="00F174D7">
        <w:rPr>
          <w:noProof/>
          <w:szCs w:val="22"/>
          <w:lang w:val="en-US"/>
        </w:rPr>
        <w:t>ted tablets, with imprints « TINAZOL 500 » on one side.</w:t>
      </w:r>
    </w:p>
    <w:p w14:paraId="5FF4A2C5" w14:textId="77777777" w:rsidR="00723205" w:rsidRPr="00F174D7" w:rsidRDefault="00723205" w:rsidP="006B4557">
      <w:pPr>
        <w:rPr>
          <w:noProof/>
          <w:szCs w:val="22"/>
          <w:lang w:val="en-US"/>
        </w:rPr>
      </w:pPr>
    </w:p>
    <w:p w14:paraId="47154731" w14:textId="77777777" w:rsidR="0067792F" w:rsidRPr="00F174D7" w:rsidRDefault="0067792F" w:rsidP="00A25442">
      <w:pPr>
        <w:rPr>
          <w:noProof/>
          <w:szCs w:val="22"/>
        </w:rPr>
      </w:pPr>
    </w:p>
    <w:p w14:paraId="165904A9" w14:textId="77777777" w:rsidR="00812D16" w:rsidRPr="00F174D7" w:rsidRDefault="00812D16" w:rsidP="00BB5EF0">
      <w:pPr>
        <w:suppressAutoHyphens/>
        <w:ind w:left="567" w:hanging="567"/>
        <w:rPr>
          <w:caps/>
          <w:noProof/>
          <w:szCs w:val="22"/>
        </w:rPr>
      </w:pPr>
      <w:r w:rsidRPr="00F174D7">
        <w:rPr>
          <w:b/>
          <w:caps/>
          <w:noProof/>
          <w:szCs w:val="22"/>
        </w:rPr>
        <w:t>4.</w:t>
      </w:r>
      <w:r w:rsidRPr="00F174D7">
        <w:rPr>
          <w:b/>
          <w:caps/>
          <w:noProof/>
          <w:szCs w:val="22"/>
        </w:rPr>
        <w:tab/>
      </w:r>
      <w:r w:rsidRPr="00F174D7">
        <w:rPr>
          <w:b/>
          <w:noProof/>
          <w:szCs w:val="22"/>
        </w:rPr>
        <w:t>C</w:t>
      </w:r>
      <w:r w:rsidR="00855481" w:rsidRPr="00F174D7">
        <w:rPr>
          <w:b/>
          <w:noProof/>
          <w:szCs w:val="22"/>
        </w:rPr>
        <w:t>LINICAL PARTICULARS</w:t>
      </w:r>
    </w:p>
    <w:p w14:paraId="70148369" w14:textId="77777777" w:rsidR="00812D16" w:rsidRPr="00F174D7" w:rsidRDefault="00812D16" w:rsidP="006F11BD">
      <w:pPr>
        <w:rPr>
          <w:noProof/>
          <w:szCs w:val="22"/>
        </w:rPr>
      </w:pPr>
    </w:p>
    <w:p w14:paraId="5E023FF0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4.1</w:t>
      </w:r>
      <w:r w:rsidRPr="00F174D7">
        <w:rPr>
          <w:b/>
          <w:noProof/>
          <w:szCs w:val="22"/>
        </w:rPr>
        <w:tab/>
        <w:t>Therapeutic indications</w:t>
      </w:r>
    </w:p>
    <w:p w14:paraId="175BD081" w14:textId="77777777" w:rsidR="00812D16" w:rsidRDefault="00812D16" w:rsidP="00635AC7">
      <w:pPr>
        <w:rPr>
          <w:noProof/>
          <w:szCs w:val="22"/>
        </w:rPr>
      </w:pPr>
    </w:p>
    <w:p w14:paraId="385A9112" w14:textId="53FE224E" w:rsidR="007E4656" w:rsidRDefault="007E4656" w:rsidP="00394955">
      <w:pPr>
        <w:jc w:val="both"/>
        <w:rPr>
          <w:noProof/>
          <w:szCs w:val="22"/>
        </w:rPr>
      </w:pPr>
      <w:r>
        <w:rPr>
          <w:noProof/>
          <w:szCs w:val="22"/>
        </w:rPr>
        <w:t>Tinidazole 500 m</w:t>
      </w:r>
      <w:r w:rsidR="00FB36D9">
        <w:rPr>
          <w:noProof/>
          <w:szCs w:val="22"/>
        </w:rPr>
        <w:t>g tablets is indicated</w:t>
      </w:r>
      <w:r w:rsidR="006C7BF0">
        <w:rPr>
          <w:noProof/>
          <w:szCs w:val="22"/>
        </w:rPr>
        <w:t xml:space="preserve"> in adults, adolescents and children over 12 years old</w:t>
      </w:r>
      <w:r w:rsidR="00FB36D9">
        <w:rPr>
          <w:noProof/>
          <w:szCs w:val="22"/>
        </w:rPr>
        <w:t xml:space="preserve"> for oral </w:t>
      </w:r>
      <w:r>
        <w:rPr>
          <w:noProof/>
          <w:szCs w:val="22"/>
        </w:rPr>
        <w:t>treatment of</w:t>
      </w:r>
      <w:r w:rsidR="006C7BF0">
        <w:rPr>
          <w:noProof/>
          <w:szCs w:val="22"/>
        </w:rPr>
        <w:t xml:space="preserve"> the following infections</w:t>
      </w:r>
      <w:r>
        <w:rPr>
          <w:noProof/>
          <w:szCs w:val="22"/>
        </w:rPr>
        <w:t>:</w:t>
      </w:r>
    </w:p>
    <w:p w14:paraId="5776F076" w14:textId="19BA2316" w:rsidR="006C7BF0" w:rsidRPr="00394955" w:rsidRDefault="006C7BF0" w:rsidP="00394955">
      <w:pPr>
        <w:pStyle w:val="Paragraphedeliste"/>
        <w:numPr>
          <w:ilvl w:val="0"/>
          <w:numId w:val="29"/>
        </w:numPr>
        <w:jc w:val="both"/>
        <w:rPr>
          <w:noProof/>
          <w:szCs w:val="22"/>
          <w:u w:val="single"/>
        </w:rPr>
      </w:pPr>
      <w:r w:rsidRPr="00394955">
        <w:rPr>
          <w:noProof/>
          <w:szCs w:val="22"/>
          <w:u w:val="single"/>
        </w:rPr>
        <w:t>Infections caused by anaerobic bacteria</w:t>
      </w:r>
    </w:p>
    <w:p w14:paraId="712F8E72" w14:textId="6B0012BD" w:rsidR="00A60469" w:rsidRPr="00A60469" w:rsidRDefault="00A60469" w:rsidP="00394955">
      <w:pPr>
        <w:pStyle w:val="Paragraphedeliste"/>
        <w:jc w:val="both"/>
        <w:rPr>
          <w:szCs w:val="22"/>
        </w:rPr>
      </w:pPr>
      <w:r>
        <w:rPr>
          <w:noProof/>
          <w:szCs w:val="22"/>
        </w:rPr>
        <w:t>I</w:t>
      </w:r>
      <w:r w:rsidRPr="00A60469">
        <w:rPr>
          <w:noProof/>
          <w:szCs w:val="22"/>
        </w:rPr>
        <w:t xml:space="preserve">nfections in which anaerobic bacteria </w:t>
      </w:r>
      <w:r w:rsidR="00A74EB3" w:rsidRPr="00A60469">
        <w:rPr>
          <w:noProof/>
          <w:szCs w:val="22"/>
        </w:rPr>
        <w:t xml:space="preserve">(such as </w:t>
      </w:r>
      <w:r w:rsidR="00A74EB3" w:rsidRPr="00A60469">
        <w:rPr>
          <w:i/>
          <w:szCs w:val="22"/>
        </w:rPr>
        <w:t>Bacteroides fragilis</w:t>
      </w:r>
      <w:r w:rsidR="00A74EB3" w:rsidRPr="00A60469">
        <w:rPr>
          <w:szCs w:val="22"/>
        </w:rPr>
        <w:t xml:space="preserve">, others </w:t>
      </w:r>
      <w:r w:rsidR="00A74EB3" w:rsidRPr="00A60469">
        <w:rPr>
          <w:i/>
          <w:szCs w:val="22"/>
        </w:rPr>
        <w:t>Bacteroides</w:t>
      </w:r>
      <w:r w:rsidR="00A74EB3" w:rsidRPr="00A60469">
        <w:rPr>
          <w:szCs w:val="22"/>
        </w:rPr>
        <w:t xml:space="preserve"> and </w:t>
      </w:r>
      <w:r w:rsidR="00A74EB3" w:rsidRPr="00A60469">
        <w:rPr>
          <w:i/>
          <w:szCs w:val="22"/>
        </w:rPr>
        <w:t xml:space="preserve">Fusobacteria </w:t>
      </w:r>
      <w:proofErr w:type="spellStart"/>
      <w:r w:rsidR="00A74EB3" w:rsidRPr="00A60469">
        <w:rPr>
          <w:i/>
          <w:szCs w:val="22"/>
        </w:rPr>
        <w:t>spp</w:t>
      </w:r>
      <w:proofErr w:type="spellEnd"/>
      <w:r w:rsidR="00A74EB3" w:rsidRPr="00A60469">
        <w:rPr>
          <w:noProof/>
          <w:szCs w:val="22"/>
        </w:rPr>
        <w:t xml:space="preserve"> or </w:t>
      </w:r>
      <w:proofErr w:type="spellStart"/>
      <w:r w:rsidR="00A74EB3" w:rsidRPr="00815FB8">
        <w:rPr>
          <w:i/>
          <w:iCs/>
          <w:szCs w:val="22"/>
        </w:rPr>
        <w:t>Peptococcus</w:t>
      </w:r>
      <w:proofErr w:type="spellEnd"/>
      <w:r w:rsidR="00A74EB3" w:rsidRPr="00815FB8">
        <w:rPr>
          <w:szCs w:val="22"/>
        </w:rPr>
        <w:t xml:space="preserve"> spp., </w:t>
      </w:r>
      <w:proofErr w:type="spellStart"/>
      <w:r w:rsidR="00A74EB3" w:rsidRPr="00815FB8">
        <w:rPr>
          <w:i/>
          <w:iCs/>
          <w:szCs w:val="22"/>
        </w:rPr>
        <w:t>Peptostreptoccus</w:t>
      </w:r>
      <w:proofErr w:type="spellEnd"/>
      <w:r w:rsidR="00A74EB3" w:rsidRPr="00815FB8">
        <w:rPr>
          <w:szCs w:val="22"/>
        </w:rPr>
        <w:t xml:space="preserve"> spp., </w:t>
      </w:r>
      <w:r w:rsidR="00A74EB3" w:rsidRPr="00815FB8">
        <w:rPr>
          <w:i/>
          <w:iCs/>
          <w:szCs w:val="22"/>
        </w:rPr>
        <w:t>Clostridium</w:t>
      </w:r>
      <w:r w:rsidR="00A74EB3" w:rsidRPr="00815FB8">
        <w:rPr>
          <w:szCs w:val="22"/>
        </w:rPr>
        <w:t xml:space="preserve"> spp., </w:t>
      </w:r>
      <w:r w:rsidR="00A74EB3" w:rsidRPr="00815FB8">
        <w:rPr>
          <w:i/>
          <w:iCs/>
          <w:szCs w:val="22"/>
        </w:rPr>
        <w:t xml:space="preserve">Eubacterium </w:t>
      </w:r>
      <w:r w:rsidR="00A74EB3" w:rsidRPr="00815FB8">
        <w:rPr>
          <w:szCs w:val="22"/>
        </w:rPr>
        <w:t xml:space="preserve">spp. and </w:t>
      </w:r>
      <w:proofErr w:type="spellStart"/>
      <w:r w:rsidR="00A74EB3" w:rsidRPr="00815FB8">
        <w:rPr>
          <w:i/>
          <w:iCs/>
          <w:szCs w:val="22"/>
        </w:rPr>
        <w:t>Veillonella</w:t>
      </w:r>
      <w:proofErr w:type="spellEnd"/>
      <w:r w:rsidR="00A74EB3" w:rsidRPr="00815FB8">
        <w:rPr>
          <w:szCs w:val="22"/>
        </w:rPr>
        <w:t xml:space="preserve"> </w:t>
      </w:r>
      <w:proofErr w:type="spellStart"/>
      <w:r w:rsidR="00A74EB3" w:rsidRPr="00815FB8">
        <w:rPr>
          <w:szCs w:val="22"/>
        </w:rPr>
        <w:t>spp</w:t>
      </w:r>
      <w:proofErr w:type="spellEnd"/>
      <w:r w:rsidR="00A74EB3">
        <w:rPr>
          <w:szCs w:val="22"/>
        </w:rPr>
        <w:t xml:space="preserve">) </w:t>
      </w:r>
      <w:r w:rsidRPr="00A60469">
        <w:rPr>
          <w:noProof/>
          <w:szCs w:val="22"/>
        </w:rPr>
        <w:t>have been confirmed or are suspected</w:t>
      </w:r>
      <w:r w:rsidR="00592458">
        <w:rPr>
          <w:noProof/>
          <w:szCs w:val="22"/>
        </w:rPr>
        <w:t xml:space="preserve"> </w:t>
      </w:r>
      <w:r>
        <w:rPr>
          <w:noProof/>
          <w:szCs w:val="22"/>
        </w:rPr>
        <w:t>to be the pathogen responsible for infection such</w:t>
      </w:r>
      <w:r w:rsidR="00592458">
        <w:rPr>
          <w:noProof/>
          <w:szCs w:val="22"/>
        </w:rPr>
        <w:t xml:space="preserve"> </w:t>
      </w:r>
      <w:r>
        <w:rPr>
          <w:noProof/>
          <w:szCs w:val="22"/>
        </w:rPr>
        <w:t>as: septicaemia, chronic sinusitis, pneumonia, empyema, lug abscesses</w:t>
      </w:r>
      <w:r w:rsidR="00A74EB3">
        <w:rPr>
          <w:noProof/>
          <w:szCs w:val="22"/>
        </w:rPr>
        <w:t xml:space="preserve">, </w:t>
      </w:r>
      <w:r w:rsidR="00A74EB3" w:rsidRPr="00394955">
        <w:rPr>
          <w:i/>
          <w:noProof/>
          <w:szCs w:val="22"/>
        </w:rPr>
        <w:t>Bacteroides</w:t>
      </w:r>
      <w:r w:rsidR="00A74EB3">
        <w:rPr>
          <w:noProof/>
          <w:szCs w:val="22"/>
        </w:rPr>
        <w:t xml:space="preserve"> osteomyelitis, septic abortion, peritonitis, post-operative abdominal infections, phelgmons and post-operative parietal infections.</w:t>
      </w:r>
    </w:p>
    <w:p w14:paraId="14E0D471" w14:textId="77777777" w:rsidR="00A60469" w:rsidRDefault="00A60469" w:rsidP="00394955">
      <w:pPr>
        <w:pStyle w:val="Paragraphedeliste"/>
        <w:jc w:val="both"/>
        <w:rPr>
          <w:noProof/>
          <w:szCs w:val="22"/>
        </w:rPr>
      </w:pPr>
    </w:p>
    <w:p w14:paraId="199E2D52" w14:textId="79C1EF42" w:rsidR="006C7BF0" w:rsidRPr="00394955" w:rsidRDefault="006C7BF0" w:rsidP="00394955">
      <w:pPr>
        <w:pStyle w:val="Paragraphedeliste"/>
        <w:numPr>
          <w:ilvl w:val="0"/>
          <w:numId w:val="29"/>
        </w:numPr>
        <w:jc w:val="both"/>
        <w:rPr>
          <w:noProof/>
          <w:szCs w:val="22"/>
        </w:rPr>
      </w:pPr>
      <w:r w:rsidRPr="00394955">
        <w:rPr>
          <w:noProof/>
          <w:szCs w:val="22"/>
          <w:u w:val="single"/>
        </w:rPr>
        <w:t>Vaginitis</w:t>
      </w:r>
      <w:r w:rsidR="00A74EB3">
        <w:rPr>
          <w:noProof/>
          <w:szCs w:val="22"/>
        </w:rPr>
        <w:t xml:space="preserve"> caused by</w:t>
      </w:r>
      <w:r w:rsidR="00A74EB3" w:rsidRPr="00A74EB3">
        <w:rPr>
          <w:i/>
          <w:noProof/>
          <w:szCs w:val="22"/>
        </w:rPr>
        <w:t xml:space="preserve"> </w:t>
      </w:r>
      <w:r w:rsidR="00A74EB3" w:rsidRPr="00FB36D9">
        <w:rPr>
          <w:i/>
          <w:noProof/>
          <w:szCs w:val="22"/>
        </w:rPr>
        <w:t>Gardnerella vaginalis</w:t>
      </w:r>
    </w:p>
    <w:p w14:paraId="2004BA67" w14:textId="77777777" w:rsidR="00A74EB3" w:rsidRDefault="00A74EB3" w:rsidP="00394955">
      <w:pPr>
        <w:pStyle w:val="Paragraphedeliste"/>
        <w:jc w:val="both"/>
        <w:rPr>
          <w:noProof/>
          <w:szCs w:val="22"/>
        </w:rPr>
      </w:pPr>
    </w:p>
    <w:p w14:paraId="6B85ADC6" w14:textId="14086745" w:rsidR="006C7BF0" w:rsidRDefault="006C7BF0" w:rsidP="00394955">
      <w:pPr>
        <w:pStyle w:val="Paragraphedeliste"/>
        <w:numPr>
          <w:ilvl w:val="0"/>
          <w:numId w:val="29"/>
        </w:numPr>
        <w:jc w:val="both"/>
        <w:rPr>
          <w:noProof/>
          <w:szCs w:val="22"/>
        </w:rPr>
      </w:pPr>
      <w:r w:rsidRPr="00394955">
        <w:rPr>
          <w:noProof/>
          <w:szCs w:val="22"/>
          <w:u w:val="single"/>
        </w:rPr>
        <w:t>Infections of genito-</w:t>
      </w:r>
      <w:r w:rsidR="00A60469" w:rsidRPr="0015782D">
        <w:rPr>
          <w:noProof/>
          <w:szCs w:val="22"/>
          <w:u w:val="single"/>
        </w:rPr>
        <w:t>urinary tract</w:t>
      </w:r>
      <w:r w:rsidR="00A74EB3">
        <w:rPr>
          <w:noProof/>
          <w:szCs w:val="22"/>
        </w:rPr>
        <w:t xml:space="preserve"> caused by </w:t>
      </w:r>
      <w:r w:rsidR="00A74EB3" w:rsidRPr="007E4656">
        <w:rPr>
          <w:i/>
          <w:noProof/>
          <w:szCs w:val="22"/>
        </w:rPr>
        <w:t>Trichomonas vaginalis</w:t>
      </w:r>
      <w:r w:rsidR="00A74EB3">
        <w:rPr>
          <w:i/>
          <w:noProof/>
          <w:szCs w:val="22"/>
        </w:rPr>
        <w:t xml:space="preserve"> </w:t>
      </w:r>
      <w:r w:rsidR="00A74EB3">
        <w:rPr>
          <w:noProof/>
          <w:szCs w:val="22"/>
        </w:rPr>
        <w:t>in botch female and male patients.</w:t>
      </w:r>
      <w:r w:rsidR="00A74EB3" w:rsidRPr="00A74EB3">
        <w:rPr>
          <w:noProof/>
          <w:szCs w:val="22"/>
        </w:rPr>
        <w:t xml:space="preserve"> </w:t>
      </w:r>
      <w:r w:rsidR="00A74EB3">
        <w:rPr>
          <w:noProof/>
          <w:szCs w:val="22"/>
        </w:rPr>
        <w:t xml:space="preserve">When infection with </w:t>
      </w:r>
      <w:r w:rsidR="00A74EB3" w:rsidRPr="007E4656">
        <w:rPr>
          <w:i/>
          <w:noProof/>
          <w:szCs w:val="22"/>
        </w:rPr>
        <w:t>Trichomonas vaginalis</w:t>
      </w:r>
      <w:r w:rsidR="00A74EB3">
        <w:rPr>
          <w:noProof/>
          <w:szCs w:val="22"/>
        </w:rPr>
        <w:t xml:space="preserve"> has been confirmed or is suspected, similtaneous treatment of the consort is recommended.</w:t>
      </w:r>
    </w:p>
    <w:p w14:paraId="216E7D56" w14:textId="4D7D5E59" w:rsidR="00A74EB3" w:rsidRPr="00A74EB3" w:rsidRDefault="00A74EB3" w:rsidP="00A74EB3">
      <w:pPr>
        <w:rPr>
          <w:noProof/>
          <w:szCs w:val="22"/>
        </w:rPr>
      </w:pPr>
    </w:p>
    <w:p w14:paraId="1AC0C9A2" w14:textId="09A8A490" w:rsidR="007E4656" w:rsidRDefault="00A60469" w:rsidP="00394955">
      <w:pPr>
        <w:pStyle w:val="Paragraphedeliste"/>
        <w:numPr>
          <w:ilvl w:val="0"/>
          <w:numId w:val="29"/>
        </w:numPr>
        <w:rPr>
          <w:noProof/>
        </w:rPr>
      </w:pPr>
      <w:r w:rsidRPr="0015782D">
        <w:rPr>
          <w:noProof/>
          <w:szCs w:val="22"/>
          <w:u w:val="single"/>
        </w:rPr>
        <w:t>Intestinal and liver infections</w:t>
      </w:r>
      <w:r w:rsidR="007E4656">
        <w:rPr>
          <w:noProof/>
        </w:rPr>
        <w:t xml:space="preserve"> caused by </w:t>
      </w:r>
      <w:r w:rsidR="007E4656" w:rsidRPr="00394955">
        <w:rPr>
          <w:i/>
          <w:noProof/>
        </w:rPr>
        <w:t>Entamoeba histolytica</w:t>
      </w:r>
      <w:r w:rsidR="007E4656">
        <w:rPr>
          <w:noProof/>
        </w:rPr>
        <w:t xml:space="preserve"> and </w:t>
      </w:r>
      <w:r w:rsidR="007E4656" w:rsidRPr="00394955">
        <w:rPr>
          <w:i/>
          <w:noProof/>
        </w:rPr>
        <w:t>Giardia lamblia</w:t>
      </w:r>
      <w:r w:rsidR="00FB36D9">
        <w:rPr>
          <w:noProof/>
        </w:rPr>
        <w:t xml:space="preserve"> intestinal infections</w:t>
      </w:r>
      <w:r w:rsidR="007E4656">
        <w:rPr>
          <w:noProof/>
        </w:rPr>
        <w:t>.</w:t>
      </w:r>
    </w:p>
    <w:p w14:paraId="3A38C372" w14:textId="77777777" w:rsidR="00812D16" w:rsidRPr="00F174D7" w:rsidRDefault="00812D16" w:rsidP="006B4557">
      <w:pPr>
        <w:rPr>
          <w:noProof/>
          <w:szCs w:val="22"/>
        </w:rPr>
      </w:pPr>
    </w:p>
    <w:p w14:paraId="2EAEAD74" w14:textId="77777777" w:rsidR="00812D16" w:rsidRPr="00F174D7" w:rsidRDefault="00855481" w:rsidP="006B4557">
      <w:pPr>
        <w:spacing w:line="240" w:lineRule="auto"/>
        <w:outlineLvl w:val="0"/>
        <w:rPr>
          <w:b/>
          <w:noProof/>
          <w:szCs w:val="22"/>
        </w:rPr>
      </w:pPr>
      <w:r w:rsidRPr="00F174D7">
        <w:rPr>
          <w:b/>
          <w:noProof/>
          <w:szCs w:val="22"/>
        </w:rPr>
        <w:t>4.2</w:t>
      </w:r>
      <w:r w:rsidRPr="00F174D7">
        <w:rPr>
          <w:b/>
          <w:noProof/>
          <w:szCs w:val="22"/>
        </w:rPr>
        <w:tab/>
      </w:r>
      <w:r w:rsidR="00812D16" w:rsidRPr="00F174D7">
        <w:rPr>
          <w:b/>
          <w:noProof/>
          <w:szCs w:val="22"/>
        </w:rPr>
        <w:t>Posology and method of administration</w:t>
      </w:r>
    </w:p>
    <w:p w14:paraId="7E410817" w14:textId="77777777" w:rsidR="00812D16" w:rsidRPr="00F174D7" w:rsidRDefault="00812D16" w:rsidP="006B4557">
      <w:pPr>
        <w:rPr>
          <w:szCs w:val="22"/>
        </w:rPr>
      </w:pPr>
    </w:p>
    <w:p w14:paraId="1FE0491A" w14:textId="0F0C9015" w:rsidR="00812D16" w:rsidRPr="00394955" w:rsidRDefault="00812D16" w:rsidP="006B4557">
      <w:pPr>
        <w:rPr>
          <w:b/>
          <w:szCs w:val="22"/>
          <w:u w:val="single"/>
        </w:rPr>
      </w:pPr>
      <w:r w:rsidRPr="00394955">
        <w:rPr>
          <w:b/>
          <w:szCs w:val="22"/>
          <w:u w:val="single"/>
        </w:rPr>
        <w:t>Posology</w:t>
      </w:r>
    </w:p>
    <w:p w14:paraId="70003DA2" w14:textId="77777777" w:rsidR="00BB16F1" w:rsidRPr="00F174D7" w:rsidRDefault="00BB16F1" w:rsidP="006B4557">
      <w:pPr>
        <w:rPr>
          <w:szCs w:val="22"/>
          <w:u w:val="single"/>
        </w:rPr>
      </w:pPr>
    </w:p>
    <w:p w14:paraId="7D77995D" w14:textId="77777777" w:rsidR="00262D6D" w:rsidRPr="00394955" w:rsidRDefault="000D7C82" w:rsidP="00394955">
      <w:pPr>
        <w:pStyle w:val="Paragraphedeliste"/>
        <w:numPr>
          <w:ilvl w:val="0"/>
          <w:numId w:val="30"/>
        </w:numPr>
        <w:ind w:left="426"/>
        <w:rPr>
          <w:rFonts w:eastAsia="SimSun"/>
          <w:u w:val="single"/>
          <w:lang w:val="en-US" w:eastAsia="fr-BE"/>
        </w:rPr>
      </w:pPr>
      <w:r w:rsidRPr="00394955">
        <w:rPr>
          <w:rFonts w:eastAsia="SimSun"/>
          <w:u w:val="single"/>
          <w:lang w:val="en-US" w:eastAsia="fr-BE"/>
        </w:rPr>
        <w:t xml:space="preserve">Urogenital Trichomoniasis </w:t>
      </w:r>
    </w:p>
    <w:p w14:paraId="6A8821B0" w14:textId="74EC8DCF" w:rsidR="000D7C82" w:rsidRDefault="00BB16F1" w:rsidP="007257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Recommended dose</w:t>
      </w:r>
      <w:r w:rsidR="000D7C82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for urogenital t</w:t>
      </w:r>
      <w:r w:rsidR="000D7C82">
        <w:rPr>
          <w:rFonts w:eastAsia="SimSun"/>
          <w:szCs w:val="22"/>
          <w:lang w:val="en-US" w:eastAsia="fr-BE"/>
        </w:rPr>
        <w:t>richo</w:t>
      </w:r>
      <w:r w:rsidR="00611489">
        <w:rPr>
          <w:rFonts w:eastAsia="SimSun"/>
          <w:szCs w:val="22"/>
          <w:lang w:val="en-US" w:eastAsia="fr-BE"/>
        </w:rPr>
        <w:t>m</w:t>
      </w:r>
      <w:r w:rsidR="000D7C82">
        <w:rPr>
          <w:rFonts w:eastAsia="SimSun"/>
          <w:szCs w:val="22"/>
          <w:lang w:val="en-US" w:eastAsia="fr-BE"/>
        </w:rPr>
        <w:t xml:space="preserve">oniasis </w:t>
      </w:r>
      <w:r>
        <w:rPr>
          <w:rFonts w:eastAsia="SimSun"/>
          <w:szCs w:val="22"/>
          <w:lang w:val="en-US" w:eastAsia="fr-BE"/>
        </w:rPr>
        <w:t>in both men and women</w:t>
      </w:r>
      <w:r w:rsidR="0072574C">
        <w:rPr>
          <w:rFonts w:eastAsia="SimSun"/>
          <w:szCs w:val="22"/>
          <w:lang w:val="en-US" w:eastAsia="fr-BE"/>
        </w:rPr>
        <w:t xml:space="preserve"> is a single dose of 2 g of tinidazole, </w:t>
      </w:r>
      <w:proofErr w:type="spellStart"/>
      <w:r w:rsidR="0072574C">
        <w:rPr>
          <w:rFonts w:eastAsia="SimSun"/>
          <w:szCs w:val="22"/>
          <w:lang w:val="en-US" w:eastAsia="fr-BE"/>
        </w:rPr>
        <w:t>i.e</w:t>
      </w:r>
      <w:proofErr w:type="spellEnd"/>
      <w:r w:rsidR="0072574C">
        <w:rPr>
          <w:rFonts w:eastAsia="SimSun"/>
          <w:szCs w:val="22"/>
          <w:lang w:val="en-US" w:eastAsia="fr-BE"/>
        </w:rPr>
        <w:t xml:space="preserve"> a single dose of 4 tablets of TINAZOL.</w:t>
      </w:r>
    </w:p>
    <w:p w14:paraId="05834233" w14:textId="77777777" w:rsidR="000D7C82" w:rsidRDefault="000D7C82" w:rsidP="0072320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178F40B3" w14:textId="77777777" w:rsidR="000D7C82" w:rsidRPr="00394955" w:rsidRDefault="000D7C82" w:rsidP="00394955">
      <w:pPr>
        <w:pStyle w:val="Paragraphedeliste"/>
        <w:numPr>
          <w:ilvl w:val="0"/>
          <w:numId w:val="30"/>
        </w:numPr>
        <w:ind w:left="426"/>
        <w:rPr>
          <w:rFonts w:eastAsia="SimSun"/>
          <w:u w:val="single"/>
          <w:lang w:val="en-US" w:eastAsia="fr-BE"/>
        </w:rPr>
      </w:pPr>
      <w:r w:rsidRPr="00394955">
        <w:rPr>
          <w:rFonts w:eastAsia="SimSun"/>
          <w:u w:val="single"/>
          <w:lang w:val="en-US" w:eastAsia="fr-BE"/>
        </w:rPr>
        <w:t xml:space="preserve">Amoebiasis </w:t>
      </w:r>
    </w:p>
    <w:p w14:paraId="6DB1BFE8" w14:textId="744A4ED7" w:rsidR="000D7C82" w:rsidRPr="00C761BD" w:rsidRDefault="000D7C82" w:rsidP="000D7C82">
      <w:pPr>
        <w:pStyle w:val="Paragraphedeliste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i/>
          <w:szCs w:val="22"/>
          <w:lang w:val="en-US" w:eastAsia="fr-BE"/>
        </w:rPr>
      </w:pPr>
      <w:r w:rsidRPr="00C761BD">
        <w:rPr>
          <w:rFonts w:eastAsia="SimSun"/>
          <w:i/>
          <w:szCs w:val="22"/>
          <w:lang w:val="en-US" w:eastAsia="fr-BE"/>
        </w:rPr>
        <w:t xml:space="preserve">Acute Amoebic Dysentery </w:t>
      </w:r>
    </w:p>
    <w:p w14:paraId="571C1FEA" w14:textId="20E6E26C" w:rsidR="00806C23" w:rsidRDefault="000D7C82" w:rsidP="0072320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The recommended dosage</w:t>
      </w:r>
      <w:r w:rsidR="0072574C">
        <w:rPr>
          <w:rFonts w:eastAsia="SimSun"/>
          <w:szCs w:val="22"/>
          <w:lang w:val="en-US" w:eastAsia="fr-BE"/>
        </w:rPr>
        <w:t xml:space="preserve"> for the treatment of acute amoebic dysentery</w:t>
      </w:r>
      <w:r>
        <w:rPr>
          <w:rFonts w:eastAsia="SimSun"/>
          <w:szCs w:val="22"/>
          <w:lang w:val="en-US" w:eastAsia="fr-BE"/>
        </w:rPr>
        <w:t xml:space="preserve"> is </w:t>
      </w:r>
      <w:r w:rsidR="0072574C">
        <w:rPr>
          <w:rFonts w:eastAsia="SimSun"/>
          <w:szCs w:val="22"/>
          <w:lang w:val="en-US" w:eastAsia="fr-BE"/>
        </w:rPr>
        <w:t xml:space="preserve">4 tablets of TINAZOL as a single daily dose </w:t>
      </w:r>
      <w:r w:rsidR="00C761BD">
        <w:rPr>
          <w:rFonts w:eastAsia="SimSun"/>
          <w:szCs w:val="22"/>
          <w:lang w:val="en-US" w:eastAsia="fr-BE"/>
        </w:rPr>
        <w:t>for two to three</w:t>
      </w:r>
      <w:r>
        <w:rPr>
          <w:rFonts w:eastAsia="SimSun"/>
          <w:szCs w:val="22"/>
          <w:lang w:val="en-US" w:eastAsia="fr-BE"/>
        </w:rPr>
        <w:t xml:space="preserve"> days. In the occasional instance when </w:t>
      </w:r>
      <w:r w:rsidR="00C761BD">
        <w:rPr>
          <w:rFonts w:eastAsia="SimSun"/>
          <w:szCs w:val="22"/>
          <w:lang w:val="en-US" w:eastAsia="fr-BE"/>
        </w:rPr>
        <w:t>a three</w:t>
      </w:r>
      <w:r w:rsidR="0072574C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day</w:t>
      </w:r>
      <w:r w:rsidR="00611489">
        <w:rPr>
          <w:rFonts w:eastAsia="SimSun"/>
          <w:szCs w:val="22"/>
          <w:lang w:val="en-US" w:eastAsia="fr-BE"/>
        </w:rPr>
        <w:t>s</w:t>
      </w:r>
      <w:r>
        <w:rPr>
          <w:rFonts w:eastAsia="SimSun"/>
          <w:szCs w:val="22"/>
          <w:lang w:val="en-US" w:eastAsia="fr-BE"/>
        </w:rPr>
        <w:t xml:space="preserve"> </w:t>
      </w:r>
      <w:r w:rsidR="0072574C">
        <w:rPr>
          <w:rFonts w:eastAsia="SimSun"/>
          <w:szCs w:val="22"/>
          <w:lang w:val="en-US" w:eastAsia="fr-BE"/>
        </w:rPr>
        <w:t xml:space="preserve">treatment, </w:t>
      </w:r>
      <w:r w:rsidR="00ED29EA">
        <w:rPr>
          <w:rFonts w:eastAsia="SimSun"/>
          <w:szCs w:val="22"/>
          <w:lang w:val="en-US" w:eastAsia="fr-BE"/>
        </w:rPr>
        <w:t>with a 2 g daily dose,</w:t>
      </w:r>
      <w:r>
        <w:rPr>
          <w:rFonts w:eastAsia="SimSun"/>
          <w:szCs w:val="22"/>
          <w:lang w:val="en-US" w:eastAsia="fr-BE"/>
        </w:rPr>
        <w:t xml:space="preserve"> is ineffective, treatment may be continued for </w:t>
      </w:r>
      <w:r w:rsidR="00C761BD">
        <w:rPr>
          <w:rFonts w:eastAsia="SimSun"/>
          <w:szCs w:val="22"/>
          <w:lang w:val="en-US" w:eastAsia="fr-BE"/>
        </w:rPr>
        <w:t>six days.</w:t>
      </w:r>
    </w:p>
    <w:p w14:paraId="63D81204" w14:textId="77777777" w:rsidR="00C761BD" w:rsidRDefault="00C761BD" w:rsidP="0072320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73381079" w14:textId="77777777" w:rsidR="00C761BD" w:rsidRPr="00C761BD" w:rsidRDefault="00C761BD" w:rsidP="00394955">
      <w:pPr>
        <w:pStyle w:val="Paragraphedeliste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i/>
          <w:szCs w:val="22"/>
          <w:lang w:val="en-US" w:eastAsia="fr-BE"/>
        </w:rPr>
      </w:pPr>
      <w:r w:rsidRPr="00C761BD">
        <w:rPr>
          <w:rFonts w:eastAsia="SimSun"/>
          <w:i/>
          <w:szCs w:val="22"/>
          <w:lang w:val="en-US" w:eastAsia="fr-BE"/>
        </w:rPr>
        <w:lastRenderedPageBreak/>
        <w:t>Amoebic Liver Abscess</w:t>
      </w:r>
    </w:p>
    <w:p w14:paraId="48DCD6CF" w14:textId="65DD2352" w:rsidR="00C761BD" w:rsidRPr="00C761BD" w:rsidRDefault="00ED29EA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In amoebic liver abscess treatment, t</w:t>
      </w:r>
      <w:r w:rsidR="00C761BD">
        <w:rPr>
          <w:rFonts w:eastAsia="SimSun"/>
          <w:szCs w:val="22"/>
          <w:lang w:val="en-US" w:eastAsia="fr-BE"/>
        </w:rPr>
        <w:t>otal dos</w:t>
      </w:r>
      <w:r>
        <w:rPr>
          <w:rFonts w:eastAsia="SimSun"/>
          <w:szCs w:val="22"/>
          <w:lang w:val="en-US" w:eastAsia="fr-BE"/>
        </w:rPr>
        <w:t>e</w:t>
      </w:r>
      <w:r w:rsidR="00C761BD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 xml:space="preserve"> of tinidazole </w:t>
      </w:r>
      <w:r w:rsidR="00C761BD">
        <w:rPr>
          <w:rFonts w:eastAsia="SimSun"/>
          <w:szCs w:val="22"/>
          <w:lang w:val="en-US" w:eastAsia="fr-BE"/>
        </w:rPr>
        <w:t xml:space="preserve">varies according to the virulence of the pathogenic agent between 4.5 to 12 g. </w:t>
      </w:r>
      <w:r>
        <w:rPr>
          <w:rFonts w:eastAsia="SimSun"/>
          <w:szCs w:val="22"/>
          <w:lang w:val="en-US" w:eastAsia="fr-BE"/>
        </w:rPr>
        <w:t xml:space="preserve">In most cases, 3 to 4 tablets of TINAZOL in a single daily dose is given during 3 days. If necessary, the </w:t>
      </w:r>
      <w:r w:rsidRPr="00D127DA">
        <w:rPr>
          <w:rFonts w:eastAsia="SimSun"/>
          <w:szCs w:val="22"/>
          <w:lang w:val="en-US" w:eastAsia="fr-BE"/>
        </w:rPr>
        <w:t>treatment may be continued for up to six days.</w:t>
      </w:r>
    </w:p>
    <w:p w14:paraId="5B29AFEB" w14:textId="77777777" w:rsidR="00C761BD" w:rsidRPr="00D127DA" w:rsidRDefault="00C761BD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D127DA">
        <w:rPr>
          <w:rFonts w:eastAsia="SimSun"/>
          <w:szCs w:val="22"/>
          <w:lang w:val="en-US" w:eastAsia="fr-BE"/>
        </w:rPr>
        <w:t>Initiate treatment with 1.5 to 2g as a single oral daily dose for three days.</w:t>
      </w:r>
    </w:p>
    <w:p w14:paraId="470A0FE4" w14:textId="54D41C9B" w:rsidR="00806C23" w:rsidRDefault="00806C23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 xml:space="preserve">In amoebic </w:t>
      </w:r>
      <w:r w:rsidR="00ED29EA">
        <w:rPr>
          <w:rFonts w:eastAsia="SimSun"/>
          <w:szCs w:val="22"/>
          <w:lang w:val="en-US" w:eastAsia="fr-BE"/>
        </w:rPr>
        <w:t>liver abscess</w:t>
      </w:r>
      <w:r>
        <w:rPr>
          <w:rFonts w:eastAsia="SimSun"/>
          <w:szCs w:val="22"/>
          <w:lang w:val="en-US" w:eastAsia="fr-BE"/>
        </w:rPr>
        <w:t xml:space="preserve"> the aspiration of pus may be required in addition to therapy with </w:t>
      </w:r>
      <w:r w:rsidR="00ED29EA">
        <w:rPr>
          <w:rFonts w:eastAsia="SimSun"/>
          <w:szCs w:val="22"/>
          <w:lang w:val="en-US" w:eastAsia="fr-BE"/>
        </w:rPr>
        <w:t>TINAZOL.</w:t>
      </w:r>
    </w:p>
    <w:p w14:paraId="68108AD9" w14:textId="77777777" w:rsidR="00C761BD" w:rsidRDefault="00C761BD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5DAB8BAF" w14:textId="77777777" w:rsidR="00C761BD" w:rsidRPr="00394955" w:rsidRDefault="00C761BD" w:rsidP="00394955">
      <w:pPr>
        <w:pStyle w:val="Paragraphedeliste"/>
        <w:numPr>
          <w:ilvl w:val="0"/>
          <w:numId w:val="30"/>
        </w:numPr>
        <w:ind w:left="426"/>
        <w:jc w:val="both"/>
        <w:rPr>
          <w:rFonts w:eastAsia="SimSun"/>
          <w:u w:val="single"/>
          <w:lang w:val="en-US" w:eastAsia="fr-BE"/>
        </w:rPr>
      </w:pPr>
      <w:r w:rsidRPr="00394955">
        <w:rPr>
          <w:rFonts w:eastAsia="SimSun"/>
          <w:u w:val="single"/>
          <w:lang w:val="en-US" w:eastAsia="fr-BE"/>
        </w:rPr>
        <w:t>Giardiasis</w:t>
      </w:r>
    </w:p>
    <w:p w14:paraId="68AC1DC8" w14:textId="4E473F1A" w:rsidR="00ED29EA" w:rsidRPr="00394955" w:rsidRDefault="00ED29EA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eastAsia="fr-BE"/>
        </w:rPr>
      </w:pPr>
      <w:r>
        <w:rPr>
          <w:rFonts w:eastAsia="SimSun"/>
          <w:szCs w:val="22"/>
          <w:lang w:val="en-US" w:eastAsia="fr-BE"/>
        </w:rPr>
        <w:t xml:space="preserve">In intestinal tract infections caused by </w:t>
      </w:r>
      <w:r w:rsidRPr="00394955">
        <w:rPr>
          <w:i/>
          <w:szCs w:val="22"/>
          <w:lang w:eastAsia="fr-BE"/>
        </w:rPr>
        <w:t>Giardia lamblia</w:t>
      </w:r>
      <w:r w:rsidR="00903422">
        <w:rPr>
          <w:szCs w:val="22"/>
          <w:lang w:eastAsia="fr-BE"/>
        </w:rPr>
        <w:t xml:space="preserve">, recommended dose is 4 tablets of TINAZOL in a single administration. Patient’s stool with giardiasis should be checked for </w:t>
      </w:r>
      <w:r w:rsidR="00903422" w:rsidRPr="00394955">
        <w:rPr>
          <w:i/>
          <w:szCs w:val="22"/>
          <w:lang w:eastAsia="fr-BE"/>
        </w:rPr>
        <w:t xml:space="preserve">Giardia lamblia </w:t>
      </w:r>
      <w:r w:rsidR="00903422">
        <w:rPr>
          <w:szCs w:val="22"/>
          <w:lang w:eastAsia="fr-BE"/>
        </w:rPr>
        <w:t>7 to 10 days after treatment.</w:t>
      </w:r>
    </w:p>
    <w:p w14:paraId="73F93A5C" w14:textId="77777777" w:rsidR="00C761BD" w:rsidRPr="00394955" w:rsidRDefault="00C761BD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3B40CF7D" w14:textId="1119ADC5" w:rsidR="007A2C5F" w:rsidRPr="00BB16F1" w:rsidRDefault="007A2C5F" w:rsidP="00394955">
      <w:pPr>
        <w:pStyle w:val="Paragraphedeliste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jc w:val="both"/>
        <w:rPr>
          <w:rFonts w:eastAsia="SimSun"/>
          <w:i/>
          <w:szCs w:val="22"/>
          <w:lang w:val="fr-BE" w:eastAsia="fr-BE"/>
        </w:rPr>
      </w:pPr>
      <w:r w:rsidRPr="00394955">
        <w:rPr>
          <w:rFonts w:eastAsia="SimSun"/>
          <w:i/>
          <w:u w:val="single"/>
          <w:lang w:val="fr-FR" w:eastAsia="fr-BE"/>
        </w:rPr>
        <w:t>Gardnerella vaginalis</w:t>
      </w:r>
      <w:r w:rsidRPr="00394955">
        <w:rPr>
          <w:rFonts w:eastAsia="SimSun"/>
          <w:u w:val="single"/>
          <w:lang w:val="fr-FR" w:eastAsia="fr-BE"/>
        </w:rPr>
        <w:t xml:space="preserve"> </w:t>
      </w:r>
      <w:proofErr w:type="spellStart"/>
      <w:r w:rsidRPr="00394955">
        <w:rPr>
          <w:rFonts w:eastAsia="SimSun"/>
          <w:u w:val="single"/>
          <w:lang w:val="fr-FR" w:eastAsia="fr-BE"/>
        </w:rPr>
        <w:t>vaginitis</w:t>
      </w:r>
      <w:proofErr w:type="spellEnd"/>
    </w:p>
    <w:p w14:paraId="4064AFD3" w14:textId="5B9C3F56" w:rsidR="007A2C5F" w:rsidRDefault="00903422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66"/>
        <w:jc w:val="both"/>
        <w:rPr>
          <w:rFonts w:eastAsia="SimSun"/>
          <w:szCs w:val="22"/>
          <w:lang w:val="en-US" w:eastAsia="fr-BE"/>
        </w:rPr>
      </w:pPr>
      <w:r w:rsidRPr="00394955">
        <w:rPr>
          <w:rFonts w:eastAsia="SimSun"/>
          <w:i/>
          <w:u w:val="single"/>
          <w:lang w:eastAsia="fr-BE"/>
        </w:rPr>
        <w:t>Gardnerella vaginalis</w:t>
      </w:r>
      <w:r w:rsidRPr="00394955">
        <w:rPr>
          <w:rFonts w:eastAsia="SimSun"/>
          <w:u w:val="single"/>
          <w:lang w:eastAsia="fr-BE"/>
        </w:rPr>
        <w:t xml:space="preserve"> vaginitis</w:t>
      </w:r>
      <w:r>
        <w:rPr>
          <w:rFonts w:eastAsia="SimSun"/>
          <w:u w:val="single"/>
          <w:lang w:eastAsia="fr-BE"/>
        </w:rPr>
        <w:t xml:space="preserve"> </w:t>
      </w:r>
      <w:r w:rsidR="00AD520C" w:rsidRPr="00AD520C">
        <w:rPr>
          <w:rFonts w:eastAsia="SimSun"/>
          <w:szCs w:val="22"/>
          <w:lang w:val="en-US" w:eastAsia="fr-BE"/>
        </w:rPr>
        <w:t>ha</w:t>
      </w:r>
      <w:r>
        <w:rPr>
          <w:rFonts w:eastAsia="SimSun"/>
          <w:szCs w:val="22"/>
          <w:lang w:val="en-US" w:eastAsia="fr-BE"/>
        </w:rPr>
        <w:t>ve</w:t>
      </w:r>
      <w:r w:rsidR="00AD520C" w:rsidRPr="00AD520C">
        <w:rPr>
          <w:rFonts w:eastAsia="SimSun"/>
          <w:szCs w:val="22"/>
          <w:lang w:val="en-US" w:eastAsia="fr-BE"/>
        </w:rPr>
        <w:t xml:space="preserve"> been successfully </w:t>
      </w:r>
      <w:r w:rsidR="00AD520C">
        <w:rPr>
          <w:rFonts w:eastAsia="SimSun"/>
          <w:szCs w:val="22"/>
          <w:lang w:val="en-US" w:eastAsia="fr-BE"/>
        </w:rPr>
        <w:t>treated with a single oral dose of 2 g</w:t>
      </w:r>
      <w:r>
        <w:rPr>
          <w:rFonts w:eastAsia="SimSun"/>
          <w:szCs w:val="22"/>
          <w:lang w:val="en-US" w:eastAsia="fr-BE"/>
        </w:rPr>
        <w:t xml:space="preserve"> of tinidazole</w:t>
      </w:r>
      <w:r w:rsidR="00AD520C">
        <w:rPr>
          <w:rFonts w:eastAsia="SimSun"/>
          <w:szCs w:val="22"/>
          <w:lang w:val="en-US" w:eastAsia="fr-BE"/>
        </w:rPr>
        <w:t>,</w:t>
      </w:r>
      <w:r>
        <w:rPr>
          <w:rFonts w:eastAsia="SimSun"/>
          <w:szCs w:val="22"/>
          <w:lang w:val="en-US" w:eastAsia="fr-BE"/>
        </w:rPr>
        <w:t xml:space="preserve"> i.e.</w:t>
      </w:r>
      <w:r w:rsidR="00AD520C">
        <w:rPr>
          <w:rFonts w:eastAsia="SimSun"/>
          <w:szCs w:val="22"/>
          <w:lang w:val="en-US" w:eastAsia="fr-BE"/>
        </w:rPr>
        <w:t xml:space="preserve"> 4 tablets of </w:t>
      </w:r>
      <w:r w:rsidR="00F86DAA">
        <w:rPr>
          <w:rFonts w:eastAsia="SimSun"/>
          <w:szCs w:val="22"/>
          <w:lang w:val="en-US" w:eastAsia="fr-BE"/>
        </w:rPr>
        <w:t>TINAZOL.</w:t>
      </w:r>
      <w:r w:rsidR="00AD520C">
        <w:rPr>
          <w:rFonts w:eastAsia="SimSun"/>
          <w:szCs w:val="22"/>
          <w:lang w:val="en-US" w:eastAsia="fr-BE"/>
        </w:rPr>
        <w:t xml:space="preserve"> </w:t>
      </w:r>
      <w:r w:rsidR="00F86DAA">
        <w:rPr>
          <w:rFonts w:eastAsia="SimSun"/>
          <w:szCs w:val="22"/>
          <w:lang w:val="en-US" w:eastAsia="fr-BE"/>
        </w:rPr>
        <w:t>H</w:t>
      </w:r>
      <w:r w:rsidR="00AD520C">
        <w:rPr>
          <w:rFonts w:eastAsia="SimSun"/>
          <w:szCs w:val="22"/>
          <w:lang w:val="en-US" w:eastAsia="fr-BE"/>
        </w:rPr>
        <w:t>igher cure rates have been achie</w:t>
      </w:r>
      <w:r w:rsidR="00F86DAA">
        <w:rPr>
          <w:rFonts w:eastAsia="SimSun"/>
          <w:szCs w:val="22"/>
          <w:lang w:val="en-US" w:eastAsia="fr-BE"/>
        </w:rPr>
        <w:t>v</w:t>
      </w:r>
      <w:r w:rsidR="00AD520C">
        <w:rPr>
          <w:rFonts w:eastAsia="SimSun"/>
          <w:szCs w:val="22"/>
          <w:lang w:val="en-US" w:eastAsia="fr-BE"/>
        </w:rPr>
        <w:t xml:space="preserve">ed with </w:t>
      </w:r>
      <w:r w:rsidR="00F86DAA">
        <w:rPr>
          <w:rFonts w:eastAsia="SimSun"/>
          <w:szCs w:val="22"/>
          <w:lang w:val="en-US" w:eastAsia="fr-BE"/>
        </w:rPr>
        <w:t xml:space="preserve">a </w:t>
      </w:r>
      <w:r w:rsidR="00AD520C">
        <w:rPr>
          <w:rFonts w:eastAsia="SimSun"/>
          <w:szCs w:val="22"/>
          <w:lang w:val="en-US" w:eastAsia="fr-BE"/>
        </w:rPr>
        <w:t xml:space="preserve">2 g </w:t>
      </w:r>
      <w:r w:rsidR="00F86DAA">
        <w:rPr>
          <w:rFonts w:eastAsia="SimSun"/>
          <w:szCs w:val="22"/>
          <w:lang w:val="en-US" w:eastAsia="fr-BE"/>
        </w:rPr>
        <w:t>daily</w:t>
      </w:r>
      <w:r w:rsidR="00AD520C">
        <w:rPr>
          <w:rFonts w:eastAsia="SimSun"/>
          <w:szCs w:val="22"/>
          <w:lang w:val="en-US" w:eastAsia="fr-BE"/>
        </w:rPr>
        <w:t xml:space="preserve"> dose on 2 consecutive days (total dose </w:t>
      </w:r>
      <w:r w:rsidR="00F86DAA">
        <w:rPr>
          <w:rFonts w:eastAsia="SimSun"/>
          <w:szCs w:val="22"/>
          <w:lang w:val="en-US" w:eastAsia="fr-BE"/>
        </w:rPr>
        <w:t xml:space="preserve">of </w:t>
      </w:r>
      <w:r w:rsidR="00AD520C">
        <w:rPr>
          <w:rFonts w:eastAsia="SimSun"/>
          <w:szCs w:val="22"/>
          <w:lang w:val="en-US" w:eastAsia="fr-BE"/>
        </w:rPr>
        <w:t>4</w:t>
      </w:r>
      <w:r w:rsidR="00F86DAA">
        <w:rPr>
          <w:rFonts w:eastAsia="SimSun"/>
          <w:szCs w:val="22"/>
          <w:lang w:val="en-US" w:eastAsia="fr-BE"/>
        </w:rPr>
        <w:t xml:space="preserve"> </w:t>
      </w:r>
      <w:r w:rsidR="00AD520C">
        <w:rPr>
          <w:rFonts w:eastAsia="SimSun"/>
          <w:szCs w:val="22"/>
          <w:lang w:val="en-US" w:eastAsia="fr-BE"/>
        </w:rPr>
        <w:t>g).</w:t>
      </w:r>
    </w:p>
    <w:p w14:paraId="71B9FB14" w14:textId="77777777" w:rsidR="00AD520C" w:rsidRDefault="00AD520C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06E22EC5" w14:textId="77777777" w:rsidR="00AD520C" w:rsidRPr="00394955" w:rsidRDefault="00AD520C" w:rsidP="00394955">
      <w:pPr>
        <w:pStyle w:val="Paragraphedeliste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jc w:val="both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>Anaerobic infections</w:t>
      </w:r>
    </w:p>
    <w:p w14:paraId="7C1D624C" w14:textId="5DFEC8C7" w:rsidR="00F86DAA" w:rsidRDefault="00AD520C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 xml:space="preserve">An initial dose of 2 g the first day followed by 1 g daily </w:t>
      </w:r>
      <w:r w:rsidR="00F86DAA">
        <w:rPr>
          <w:rFonts w:eastAsia="SimSun"/>
          <w:szCs w:val="22"/>
          <w:lang w:val="en-US" w:eastAsia="fr-BE"/>
        </w:rPr>
        <w:t>in a</w:t>
      </w:r>
      <w:r>
        <w:rPr>
          <w:rFonts w:eastAsia="SimSun"/>
          <w:szCs w:val="22"/>
          <w:lang w:val="en-US" w:eastAsia="fr-BE"/>
        </w:rPr>
        <w:t xml:space="preserve"> single </w:t>
      </w:r>
      <w:r w:rsidR="00F86DAA">
        <w:rPr>
          <w:rFonts w:eastAsia="SimSun"/>
          <w:szCs w:val="22"/>
          <w:lang w:val="en-US" w:eastAsia="fr-BE"/>
        </w:rPr>
        <w:t>administration (</w:t>
      </w:r>
      <w:r>
        <w:rPr>
          <w:rFonts w:eastAsia="SimSun"/>
          <w:szCs w:val="22"/>
          <w:lang w:val="en-US" w:eastAsia="fr-BE"/>
        </w:rPr>
        <w:t>or as 500 mg twice daily</w:t>
      </w:r>
      <w:r w:rsidR="00F86DAA">
        <w:rPr>
          <w:rFonts w:eastAsia="SimSun"/>
          <w:szCs w:val="22"/>
          <w:lang w:val="en-US" w:eastAsia="fr-BE"/>
        </w:rPr>
        <w:t>)</w:t>
      </w:r>
      <w:r>
        <w:rPr>
          <w:rFonts w:eastAsia="SimSun"/>
          <w:szCs w:val="22"/>
          <w:lang w:val="en-US" w:eastAsia="fr-BE"/>
        </w:rPr>
        <w:t xml:space="preserve">. Treatment for 5 to 6 days </w:t>
      </w:r>
      <w:r w:rsidR="00F86DAA">
        <w:rPr>
          <w:rFonts w:eastAsia="SimSun"/>
          <w:szCs w:val="22"/>
          <w:lang w:val="en-US" w:eastAsia="fr-BE"/>
        </w:rPr>
        <w:t>is usually</w:t>
      </w:r>
      <w:r>
        <w:rPr>
          <w:rFonts w:eastAsia="SimSun"/>
          <w:szCs w:val="22"/>
          <w:lang w:val="en-US" w:eastAsia="fr-BE"/>
        </w:rPr>
        <w:t xml:space="preserve"> adequate</w:t>
      </w:r>
      <w:r w:rsidR="00F86DAA">
        <w:rPr>
          <w:rFonts w:eastAsia="SimSun"/>
          <w:szCs w:val="22"/>
          <w:lang w:val="en-US" w:eastAsia="fr-BE"/>
        </w:rPr>
        <w:t xml:space="preserve">. Duration of the treatment should depend </w:t>
      </w:r>
      <w:r w:rsidR="00212931">
        <w:rPr>
          <w:rFonts w:eastAsia="SimSun"/>
          <w:szCs w:val="22"/>
          <w:lang w:val="en-US" w:eastAsia="fr-BE"/>
        </w:rPr>
        <w:t>on</w:t>
      </w:r>
      <w:r w:rsidR="00F86DAA">
        <w:rPr>
          <w:rFonts w:eastAsia="SimSun"/>
          <w:szCs w:val="22"/>
          <w:lang w:val="en-US" w:eastAsia="fr-BE"/>
        </w:rPr>
        <w:t xml:space="preserve"> the clinical assessment of the patient’s condition</w:t>
      </w:r>
      <w:r w:rsidR="00212931">
        <w:rPr>
          <w:rFonts w:eastAsia="SimSun"/>
          <w:szCs w:val="22"/>
          <w:lang w:val="en-US" w:eastAsia="fr-BE"/>
        </w:rPr>
        <w:t>, particularly when eradication of some infection foci is proving difficult.</w:t>
      </w:r>
    </w:p>
    <w:p w14:paraId="6849DE97" w14:textId="77777777" w:rsidR="00EB53F2" w:rsidRDefault="00EB53F2" w:rsidP="00AD52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15458EA6" w14:textId="24E42EFA" w:rsidR="002D4C83" w:rsidRPr="00394955" w:rsidRDefault="002D4C83" w:rsidP="00AD52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>Table</w:t>
      </w:r>
      <w:r w:rsidR="00EB53F2" w:rsidRPr="00394955">
        <w:rPr>
          <w:rFonts w:eastAsia="SimSun"/>
          <w:szCs w:val="22"/>
          <w:u w:val="single"/>
          <w:lang w:val="en-US" w:eastAsia="fr-BE"/>
        </w:rPr>
        <w:t xml:space="preserve"> 1</w:t>
      </w:r>
      <w:r w:rsidRPr="00394955">
        <w:rPr>
          <w:rFonts w:eastAsia="SimSun"/>
          <w:szCs w:val="22"/>
          <w:u w:val="single"/>
          <w:lang w:val="en-US" w:eastAsia="fr-BE"/>
        </w:rPr>
        <w:t xml:space="preserve"> </w:t>
      </w:r>
      <w:r w:rsidR="00EB53F2" w:rsidRPr="00394955">
        <w:rPr>
          <w:rFonts w:eastAsia="SimSun"/>
          <w:szCs w:val="22"/>
          <w:u w:val="single"/>
          <w:lang w:val="en-US" w:eastAsia="fr-BE"/>
        </w:rPr>
        <w:t>D</w:t>
      </w:r>
      <w:r w:rsidRPr="00394955">
        <w:rPr>
          <w:rFonts w:eastAsia="SimSun"/>
          <w:szCs w:val="22"/>
          <w:u w:val="single"/>
          <w:lang w:val="en-US" w:eastAsia="fr-BE"/>
        </w:rPr>
        <w:t>osage summary</w:t>
      </w:r>
      <w:r w:rsidR="00EB53F2" w:rsidRPr="00394955">
        <w:rPr>
          <w:rFonts w:eastAsia="SimSun"/>
          <w:szCs w:val="22"/>
          <w:u w:val="single"/>
          <w:lang w:val="en-US" w:eastAsia="fr-BE"/>
        </w:rPr>
        <w:t xml:space="preserve"> for each indication in </w:t>
      </w:r>
      <w:r w:rsidR="00EB53F2" w:rsidRPr="00394955">
        <w:rPr>
          <w:rFonts w:eastAsia="SimSun"/>
          <w:b/>
          <w:szCs w:val="22"/>
          <w:u w:val="single"/>
          <w:lang w:val="en-US" w:eastAsia="fr-BE"/>
        </w:rPr>
        <w:t>adults</w:t>
      </w:r>
      <w:r w:rsidR="00EB53F2" w:rsidRPr="00394955">
        <w:rPr>
          <w:rFonts w:eastAsia="SimSun"/>
          <w:szCs w:val="22"/>
          <w:u w:val="single"/>
          <w:lang w:val="en-US" w:eastAsia="fr-BE"/>
        </w:rPr>
        <w:t>:</w:t>
      </w:r>
      <w:r w:rsidRPr="00394955">
        <w:rPr>
          <w:rFonts w:eastAsia="SimSun"/>
          <w:szCs w:val="22"/>
          <w:u w:val="single"/>
          <w:lang w:val="en-US" w:eastAsia="fr-BE"/>
        </w:rPr>
        <w:t xml:space="preserve"> </w:t>
      </w:r>
    </w:p>
    <w:p w14:paraId="0CADDCF8" w14:textId="77777777" w:rsidR="002D4C83" w:rsidRDefault="002D4C83" w:rsidP="00AD52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47"/>
        <w:gridCol w:w="3457"/>
        <w:gridCol w:w="2835"/>
      </w:tblGrid>
      <w:tr w:rsidR="004130CD" w:rsidRPr="005B31BD" w14:paraId="1AB342A6" w14:textId="77777777" w:rsidTr="00394955">
        <w:trPr>
          <w:trHeight w:val="667"/>
        </w:trPr>
        <w:tc>
          <w:tcPr>
            <w:tcW w:w="3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4C94C" w14:textId="17D02185" w:rsidR="005B31BD" w:rsidRPr="00394955" w:rsidRDefault="005B31BD" w:rsidP="002A4342">
            <w:pPr>
              <w:rPr>
                <w:bCs/>
                <w:i/>
                <w:szCs w:val="22"/>
                <w:u w:val="single"/>
              </w:rPr>
            </w:pPr>
            <w:r w:rsidRPr="00394955">
              <w:rPr>
                <w:bCs/>
                <w:i/>
                <w:szCs w:val="22"/>
                <w:u w:val="single"/>
              </w:rPr>
              <w:t>Indications</w:t>
            </w:r>
          </w:p>
          <w:p w14:paraId="7C5B5960" w14:textId="77777777" w:rsidR="005B31BD" w:rsidRPr="00394955" w:rsidRDefault="005B31BD" w:rsidP="002A4342">
            <w:pPr>
              <w:rPr>
                <w:bCs/>
                <w:i/>
                <w:szCs w:val="22"/>
                <w:u w:val="single"/>
              </w:rPr>
            </w:pPr>
          </w:p>
        </w:tc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E3C8E" w14:textId="77777777" w:rsidR="009231D8" w:rsidRDefault="005B31BD" w:rsidP="00EB53F2">
            <w:pPr>
              <w:rPr>
                <w:bCs/>
                <w:i/>
                <w:szCs w:val="22"/>
                <w:u w:val="single"/>
              </w:rPr>
            </w:pPr>
            <w:r w:rsidRPr="00394955">
              <w:rPr>
                <w:bCs/>
                <w:i/>
                <w:szCs w:val="22"/>
                <w:u w:val="single"/>
              </w:rPr>
              <w:t xml:space="preserve">Quantity of tablets </w:t>
            </w:r>
          </w:p>
          <w:p w14:paraId="57809FE0" w14:textId="3032582F" w:rsidR="005B31BD" w:rsidRPr="00394955" w:rsidRDefault="005B31BD" w:rsidP="00EB53F2">
            <w:pPr>
              <w:rPr>
                <w:bCs/>
                <w:i/>
                <w:szCs w:val="22"/>
                <w:u w:val="single"/>
              </w:rPr>
            </w:pPr>
            <w:r w:rsidRPr="00394955">
              <w:rPr>
                <w:bCs/>
                <w:i/>
                <w:szCs w:val="22"/>
                <w:u w:val="single"/>
              </w:rPr>
              <w:t>(in one intake during a meal)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232B5" w14:textId="77777777" w:rsidR="005B31BD" w:rsidRPr="00394955" w:rsidRDefault="005B31BD" w:rsidP="002A4342">
            <w:pPr>
              <w:rPr>
                <w:bCs/>
                <w:i/>
                <w:szCs w:val="22"/>
                <w:u w:val="single"/>
              </w:rPr>
            </w:pPr>
            <w:r w:rsidRPr="00394955">
              <w:rPr>
                <w:bCs/>
                <w:i/>
                <w:szCs w:val="22"/>
                <w:u w:val="single"/>
              </w:rPr>
              <w:t>Duration of treatment</w:t>
            </w:r>
          </w:p>
          <w:p w14:paraId="29E03DE5" w14:textId="166DD5F3" w:rsidR="005B31BD" w:rsidRPr="00394955" w:rsidRDefault="005B31BD" w:rsidP="002A4342">
            <w:pPr>
              <w:rPr>
                <w:bCs/>
                <w:i/>
                <w:szCs w:val="22"/>
                <w:u w:val="single"/>
              </w:rPr>
            </w:pPr>
          </w:p>
        </w:tc>
      </w:tr>
      <w:tr w:rsidR="004130CD" w:rsidRPr="005B31BD" w14:paraId="56C7F39F" w14:textId="77777777" w:rsidTr="00394955">
        <w:trPr>
          <w:trHeight w:val="595"/>
        </w:trPr>
        <w:tc>
          <w:tcPr>
            <w:tcW w:w="3347" w:type="dxa"/>
            <w:tcBorders>
              <w:top w:val="single" w:sz="12" w:space="0" w:color="auto"/>
              <w:bottom w:val="single" w:sz="4" w:space="0" w:color="auto"/>
            </w:tcBorders>
          </w:tcPr>
          <w:p w14:paraId="34B40449" w14:textId="77777777" w:rsidR="005B72BB" w:rsidRPr="00394955" w:rsidRDefault="005B72BB" w:rsidP="002A4342">
            <w:pPr>
              <w:rPr>
                <w:bCs/>
                <w:szCs w:val="22"/>
              </w:rPr>
            </w:pPr>
            <w:r w:rsidRPr="00394955">
              <w:rPr>
                <w:bCs/>
                <w:szCs w:val="22"/>
              </w:rPr>
              <w:t>Urinary-genital Trichomoniasis</w:t>
            </w:r>
          </w:p>
          <w:p w14:paraId="6A10A694" w14:textId="750E394F" w:rsidR="005B72BB" w:rsidRPr="005B31BD" w:rsidRDefault="005B72BB" w:rsidP="002A4342">
            <w:pPr>
              <w:rPr>
                <w:b/>
                <w:bCs/>
                <w:szCs w:val="22"/>
              </w:rPr>
            </w:pPr>
            <w:r>
              <w:rPr>
                <w:bCs/>
                <w:szCs w:val="22"/>
                <w:lang w:val="en-US"/>
              </w:rPr>
              <w:t>(</w:t>
            </w:r>
            <w:r w:rsidRPr="005B31BD">
              <w:rPr>
                <w:bCs/>
                <w:szCs w:val="22"/>
                <w:lang w:val="en-US"/>
              </w:rPr>
              <w:t>In men and women</w:t>
            </w:r>
            <w:r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3457" w:type="dxa"/>
            <w:tcBorders>
              <w:top w:val="single" w:sz="12" w:space="0" w:color="auto"/>
              <w:bottom w:val="single" w:sz="4" w:space="0" w:color="auto"/>
            </w:tcBorders>
          </w:tcPr>
          <w:p w14:paraId="1BD37886" w14:textId="1333037E" w:rsidR="005B72BB" w:rsidRPr="005B31BD" w:rsidRDefault="005B72BB" w:rsidP="002A4342">
            <w:pPr>
              <w:rPr>
                <w:bCs/>
                <w:szCs w:val="22"/>
              </w:rPr>
            </w:pPr>
            <w:r w:rsidRPr="005B31BD">
              <w:rPr>
                <w:bCs/>
                <w:szCs w:val="22"/>
                <w:lang w:val="en-US"/>
              </w:rPr>
              <w:t>4 tablets of 500 mg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AC370B8" w14:textId="2AE48976" w:rsidR="005B72BB" w:rsidRPr="005B31BD" w:rsidRDefault="005B72BB" w:rsidP="005B72BB">
            <w:pPr>
              <w:rPr>
                <w:bCs/>
                <w:szCs w:val="22"/>
              </w:rPr>
            </w:pPr>
            <w:r w:rsidRPr="005B31BD">
              <w:rPr>
                <w:bCs/>
                <w:szCs w:val="22"/>
                <w:lang w:val="en-US"/>
              </w:rPr>
              <w:t>1</w:t>
            </w:r>
            <w:r>
              <w:rPr>
                <w:bCs/>
                <w:szCs w:val="22"/>
                <w:lang w:val="en-US"/>
              </w:rPr>
              <w:t xml:space="preserve"> day</w:t>
            </w:r>
          </w:p>
        </w:tc>
      </w:tr>
      <w:tr w:rsidR="004130CD" w:rsidRPr="005B31BD" w14:paraId="5F6F547B" w14:textId="77777777" w:rsidTr="00394955">
        <w:trPr>
          <w:trHeight w:val="595"/>
        </w:trPr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4BFB182C" w14:textId="680E1CB8" w:rsidR="005B72BB" w:rsidRPr="005B72BB" w:rsidRDefault="005B72BB" w:rsidP="002A4342">
            <w:pPr>
              <w:rPr>
                <w:b/>
                <w:bCs/>
                <w:szCs w:val="22"/>
              </w:rPr>
            </w:pPr>
            <w:r w:rsidRPr="00394955">
              <w:rPr>
                <w:rFonts w:eastAsia="SimSun"/>
                <w:szCs w:val="22"/>
                <w:lang w:val="en-US" w:eastAsia="fr-BE"/>
              </w:rPr>
              <w:t>Acute Amoebic Dysentery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7ADB39A1" w14:textId="4E3541E2" w:rsidR="005B72BB" w:rsidRPr="005B31BD" w:rsidRDefault="005B72BB" w:rsidP="002A4342">
            <w:pPr>
              <w:rPr>
                <w:bCs/>
                <w:szCs w:val="22"/>
                <w:lang w:val="en-US"/>
              </w:rPr>
            </w:pPr>
            <w:r w:rsidRPr="005B31BD">
              <w:rPr>
                <w:bCs/>
                <w:szCs w:val="22"/>
                <w:lang w:val="en-US"/>
              </w:rPr>
              <w:t>4 tablets of 500 mg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F91ACE" w14:textId="77777777" w:rsidR="005B72BB" w:rsidRDefault="005B72BB" w:rsidP="005B72BB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 to 3 days</w:t>
            </w:r>
          </w:p>
          <w:p w14:paraId="473EDA09" w14:textId="4E2695E3" w:rsidR="005B72BB" w:rsidRPr="005B31BD" w:rsidRDefault="005B72BB" w:rsidP="005B72BB">
            <w:pPr>
              <w:rPr>
                <w:bCs/>
                <w:szCs w:val="22"/>
                <w:lang w:val="en-US"/>
              </w:rPr>
            </w:pPr>
            <w:r>
              <w:rPr>
                <w:rFonts w:eastAsia="SimSun"/>
                <w:szCs w:val="22"/>
                <w:lang w:val="en-US" w:eastAsia="fr-BE"/>
              </w:rPr>
              <w:t>(</w:t>
            </w:r>
            <w:r w:rsidRPr="00D127DA">
              <w:rPr>
                <w:rFonts w:eastAsia="SimSun"/>
                <w:szCs w:val="22"/>
                <w:lang w:val="en-US" w:eastAsia="fr-BE"/>
              </w:rPr>
              <w:t>may be</w:t>
            </w:r>
            <w:r>
              <w:rPr>
                <w:rFonts w:eastAsia="SimSun"/>
                <w:szCs w:val="22"/>
                <w:lang w:val="en-US" w:eastAsia="fr-BE"/>
              </w:rPr>
              <w:t xml:space="preserve"> continued for up to 6</w:t>
            </w:r>
            <w:r w:rsidRPr="00D127DA">
              <w:rPr>
                <w:rFonts w:eastAsia="SimSun"/>
                <w:szCs w:val="22"/>
                <w:lang w:val="en-US" w:eastAsia="fr-BE"/>
              </w:rPr>
              <w:t xml:space="preserve"> days</w:t>
            </w:r>
            <w:r>
              <w:rPr>
                <w:rFonts w:eastAsia="SimSun"/>
                <w:szCs w:val="22"/>
                <w:lang w:val="en-US" w:eastAsia="fr-BE"/>
              </w:rPr>
              <w:t xml:space="preserve"> if necessary)</w:t>
            </w:r>
          </w:p>
        </w:tc>
      </w:tr>
      <w:tr w:rsidR="004130CD" w:rsidRPr="005B31BD" w14:paraId="3620F5D5" w14:textId="77777777" w:rsidTr="00394955">
        <w:trPr>
          <w:trHeight w:val="299"/>
        </w:trPr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1987A3D8" w14:textId="22C586D2" w:rsidR="005B72BB" w:rsidRPr="005B72BB" w:rsidRDefault="005B72BB" w:rsidP="0039495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szCs w:val="22"/>
                <w:lang w:val="en-US" w:eastAsia="fr-BE"/>
              </w:rPr>
            </w:pPr>
            <w:r w:rsidRPr="005B72BB">
              <w:rPr>
                <w:rFonts w:eastAsia="SimSun"/>
                <w:szCs w:val="22"/>
                <w:lang w:val="en-US" w:eastAsia="fr-BE"/>
              </w:rPr>
              <w:t>Amoebic Liver Abscess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03A55E3A" w14:textId="0FE3BAC3" w:rsidR="005B72BB" w:rsidRPr="005B31BD" w:rsidRDefault="005B72BB" w:rsidP="002A4342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 xml:space="preserve">3 to </w:t>
            </w:r>
            <w:r w:rsidRPr="005B31BD">
              <w:rPr>
                <w:bCs/>
                <w:szCs w:val="22"/>
                <w:lang w:val="en-US"/>
              </w:rPr>
              <w:t>4 tablets of 500 mg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1C98DB" w14:textId="1B2D1F96" w:rsidR="005B72BB" w:rsidRDefault="005B72BB" w:rsidP="005B72BB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 to 6 days</w:t>
            </w:r>
          </w:p>
        </w:tc>
      </w:tr>
      <w:tr w:rsidR="004130CD" w:rsidRPr="005B31BD" w14:paraId="06A06ED4" w14:textId="77777777" w:rsidTr="00394955">
        <w:trPr>
          <w:trHeight w:val="276"/>
        </w:trPr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30751178" w14:textId="7BA00704" w:rsidR="005B72BB" w:rsidRPr="005B72BB" w:rsidRDefault="005B72BB" w:rsidP="005B72BB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szCs w:val="22"/>
                <w:lang w:val="en-US" w:eastAsia="fr-BE"/>
              </w:rPr>
            </w:pPr>
            <w:r w:rsidRPr="00394955">
              <w:rPr>
                <w:bCs/>
                <w:szCs w:val="22"/>
              </w:rPr>
              <w:t>Giardiasis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162C080E" w14:textId="1D30A377" w:rsidR="005B72BB" w:rsidRDefault="005B72BB" w:rsidP="002A4342">
            <w:pPr>
              <w:rPr>
                <w:bCs/>
                <w:szCs w:val="22"/>
                <w:lang w:val="en-US"/>
              </w:rPr>
            </w:pPr>
            <w:r w:rsidRPr="005B31BD">
              <w:rPr>
                <w:bCs/>
                <w:szCs w:val="22"/>
              </w:rPr>
              <w:t>4 tablets of 500 mg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3DC44C" w14:textId="147C273B" w:rsidR="005B72BB" w:rsidRDefault="005B72BB" w:rsidP="005B72BB">
            <w:pPr>
              <w:rPr>
                <w:bCs/>
                <w:szCs w:val="22"/>
                <w:lang w:val="en-US"/>
              </w:rPr>
            </w:pPr>
            <w:r w:rsidRPr="005B31BD">
              <w:rPr>
                <w:bCs/>
                <w:szCs w:val="22"/>
                <w:lang w:val="en-US"/>
              </w:rPr>
              <w:t>1</w:t>
            </w:r>
            <w:r>
              <w:rPr>
                <w:bCs/>
                <w:szCs w:val="22"/>
                <w:lang w:val="en-US"/>
              </w:rPr>
              <w:t xml:space="preserve"> day</w:t>
            </w:r>
          </w:p>
        </w:tc>
      </w:tr>
      <w:tr w:rsidR="004130CD" w:rsidRPr="005B31BD" w14:paraId="0D0663EE" w14:textId="77777777" w:rsidTr="00394955">
        <w:trPr>
          <w:trHeight w:val="300"/>
        </w:trPr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5D138D45" w14:textId="175234FA" w:rsidR="005B31BD" w:rsidRPr="00394955" w:rsidRDefault="005B72BB" w:rsidP="005B72BB">
            <w:pPr>
              <w:rPr>
                <w:bCs/>
                <w:szCs w:val="22"/>
              </w:rPr>
            </w:pPr>
            <w:r w:rsidRPr="00394955">
              <w:rPr>
                <w:bCs/>
                <w:szCs w:val="22"/>
              </w:rPr>
              <w:t>Non-specific</w:t>
            </w:r>
            <w:r w:rsidRPr="004130CD">
              <w:rPr>
                <w:bCs/>
                <w:i/>
                <w:szCs w:val="22"/>
              </w:rPr>
              <w:t xml:space="preserve"> </w:t>
            </w:r>
            <w:r w:rsidRPr="00394955">
              <w:rPr>
                <w:bCs/>
                <w:szCs w:val="22"/>
              </w:rPr>
              <w:t>vaginitis due to</w:t>
            </w:r>
            <w:r w:rsidRPr="00394955">
              <w:rPr>
                <w:bCs/>
                <w:i/>
                <w:szCs w:val="22"/>
              </w:rPr>
              <w:t xml:space="preserve"> </w:t>
            </w:r>
            <w:r w:rsidR="005B31BD" w:rsidRPr="00394955">
              <w:rPr>
                <w:bCs/>
                <w:i/>
                <w:szCs w:val="22"/>
              </w:rPr>
              <w:t xml:space="preserve">Gardnerella 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521F8999" w14:textId="77777777" w:rsidR="005B31BD" w:rsidRPr="005B31BD" w:rsidRDefault="005B31BD" w:rsidP="002A4342">
            <w:pPr>
              <w:rPr>
                <w:bCs/>
                <w:szCs w:val="22"/>
              </w:rPr>
            </w:pPr>
            <w:r w:rsidRPr="005B31BD">
              <w:rPr>
                <w:bCs/>
                <w:szCs w:val="22"/>
              </w:rPr>
              <w:t>4 tablets of 500 mg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EEA440" w14:textId="42A5E672" w:rsidR="005B31BD" w:rsidRPr="005B31BD" w:rsidRDefault="005B31BD" w:rsidP="002A4342">
            <w:pPr>
              <w:rPr>
                <w:bCs/>
                <w:szCs w:val="22"/>
              </w:rPr>
            </w:pPr>
            <w:r w:rsidRPr="005B31BD">
              <w:rPr>
                <w:bCs/>
                <w:szCs w:val="22"/>
              </w:rPr>
              <w:t xml:space="preserve">1 to 2 </w:t>
            </w:r>
            <w:r w:rsidR="005B72BB">
              <w:rPr>
                <w:bCs/>
                <w:szCs w:val="22"/>
              </w:rPr>
              <w:t>days</w:t>
            </w:r>
          </w:p>
        </w:tc>
      </w:tr>
      <w:tr w:rsidR="004130CD" w:rsidRPr="005B31BD" w14:paraId="7C71DF70" w14:textId="77777777" w:rsidTr="00394955">
        <w:trPr>
          <w:trHeight w:val="600"/>
        </w:trPr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14:paraId="323284A1" w14:textId="3C62156D" w:rsidR="007C3472" w:rsidRPr="005B31BD" w:rsidRDefault="007C3472" w:rsidP="002A4342">
            <w:pPr>
              <w:rPr>
                <w:b/>
                <w:bCs/>
                <w:szCs w:val="22"/>
              </w:rPr>
            </w:pPr>
            <w:r w:rsidRPr="00394955">
              <w:rPr>
                <w:bCs/>
                <w:szCs w:val="22"/>
              </w:rPr>
              <w:t>Anaerobic bacterial infections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721A1A28" w14:textId="77777777" w:rsidR="007C3472" w:rsidRPr="005B31BD" w:rsidRDefault="007C3472" w:rsidP="007C3472">
            <w:pPr>
              <w:rPr>
                <w:bCs/>
                <w:szCs w:val="22"/>
              </w:rPr>
            </w:pPr>
            <w:r w:rsidRPr="005B31BD">
              <w:rPr>
                <w:bCs/>
                <w:szCs w:val="22"/>
              </w:rPr>
              <w:t>4 tablets of 500 mg</w:t>
            </w:r>
            <w:r>
              <w:rPr>
                <w:bCs/>
                <w:szCs w:val="22"/>
              </w:rPr>
              <w:t xml:space="preserve"> the first day</w:t>
            </w:r>
          </w:p>
          <w:p w14:paraId="5716D959" w14:textId="4045BC1B" w:rsidR="007C3472" w:rsidRPr="005B31BD" w:rsidRDefault="007C3472" w:rsidP="002A4342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f</w:t>
            </w:r>
            <w:r w:rsidRPr="005B31BD">
              <w:rPr>
                <w:bCs/>
                <w:szCs w:val="22"/>
              </w:rPr>
              <w:t>ollowed by 2 tablets of 500 mg</w:t>
            </w:r>
            <w:r>
              <w:rPr>
                <w:bCs/>
                <w:szCs w:val="22"/>
              </w:rPr>
              <w:t xml:space="preserve"> the next 4 to 5 days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9D0267" w14:textId="0A06F5A6" w:rsidR="007C3472" w:rsidRPr="005B31BD" w:rsidRDefault="007C3472" w:rsidP="002A4342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5 to 6 days</w:t>
            </w:r>
          </w:p>
        </w:tc>
      </w:tr>
    </w:tbl>
    <w:p w14:paraId="173883E8" w14:textId="77777777" w:rsidR="005B31BD" w:rsidRDefault="005B31BD" w:rsidP="00AD520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788E27A9" w14:textId="71E00E0B" w:rsidR="00262D6D" w:rsidRPr="00394955" w:rsidRDefault="00A67D54" w:rsidP="006B4557">
      <w:pPr>
        <w:rPr>
          <w:i/>
          <w:noProof/>
          <w:szCs w:val="22"/>
          <w:u w:val="single"/>
        </w:rPr>
      </w:pPr>
      <w:r w:rsidRPr="00394955">
        <w:rPr>
          <w:i/>
          <w:noProof/>
          <w:szCs w:val="22"/>
          <w:u w:val="single"/>
        </w:rPr>
        <w:t xml:space="preserve">Paediatric </w:t>
      </w:r>
      <w:r w:rsidR="002A5A10" w:rsidRPr="00394955">
        <w:rPr>
          <w:i/>
          <w:noProof/>
          <w:szCs w:val="22"/>
          <w:u w:val="single"/>
        </w:rPr>
        <w:t>population</w:t>
      </w:r>
    </w:p>
    <w:p w14:paraId="248FFA71" w14:textId="77777777" w:rsidR="002A5A10" w:rsidRPr="00394955" w:rsidRDefault="002A5A10" w:rsidP="002A5A10">
      <w:pPr>
        <w:rPr>
          <w:bCs/>
          <w:szCs w:val="22"/>
          <w:lang w:val="en-US"/>
        </w:rPr>
      </w:pPr>
      <w:r w:rsidRPr="00394955">
        <w:rPr>
          <w:bCs/>
          <w:szCs w:val="22"/>
          <w:lang w:val="en-US"/>
        </w:rPr>
        <w:t>The maximum posology in adults should not be exceeded in children.</w:t>
      </w:r>
    </w:p>
    <w:p w14:paraId="0094783B" w14:textId="264F1C24" w:rsidR="00A67D54" w:rsidRDefault="00A67D54" w:rsidP="006B4557">
      <w:pPr>
        <w:rPr>
          <w:noProof/>
          <w:szCs w:val="22"/>
        </w:rPr>
      </w:pPr>
      <w:r>
        <w:rPr>
          <w:noProof/>
          <w:szCs w:val="22"/>
        </w:rPr>
        <w:t xml:space="preserve">There is no </w:t>
      </w:r>
      <w:r w:rsidR="002A5A10">
        <w:rPr>
          <w:noProof/>
          <w:szCs w:val="22"/>
        </w:rPr>
        <w:t xml:space="preserve">clinical </w:t>
      </w:r>
      <w:r>
        <w:rPr>
          <w:noProof/>
          <w:szCs w:val="22"/>
        </w:rPr>
        <w:t>data available to allow dosage recommendations</w:t>
      </w:r>
      <w:r w:rsidR="002A5A10">
        <w:rPr>
          <w:noProof/>
          <w:szCs w:val="22"/>
        </w:rPr>
        <w:t xml:space="preserve"> of tinidazole</w:t>
      </w:r>
      <w:r>
        <w:rPr>
          <w:noProof/>
          <w:szCs w:val="22"/>
        </w:rPr>
        <w:t xml:space="preserve"> for children below the age of 12 in the</w:t>
      </w:r>
      <w:r w:rsidR="004130CD">
        <w:rPr>
          <w:noProof/>
          <w:szCs w:val="22"/>
        </w:rPr>
        <w:t xml:space="preserve"> treatment or the</w:t>
      </w:r>
      <w:r>
        <w:rPr>
          <w:noProof/>
          <w:szCs w:val="22"/>
        </w:rPr>
        <w:t xml:space="preserve"> prophylaxis of anaerobic infections. </w:t>
      </w:r>
    </w:p>
    <w:p w14:paraId="6ECEFF0E" w14:textId="113C9305" w:rsidR="00EB53F2" w:rsidRDefault="00EB53F2" w:rsidP="006B4557">
      <w:pPr>
        <w:rPr>
          <w:noProof/>
          <w:szCs w:val="22"/>
        </w:rPr>
      </w:pPr>
    </w:p>
    <w:p w14:paraId="157F61E7" w14:textId="6A51C985" w:rsidR="00EB53F2" w:rsidRPr="00832FDF" w:rsidRDefault="004130CD" w:rsidP="00EB53F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>
        <w:rPr>
          <w:rFonts w:eastAsia="SimSun"/>
          <w:szCs w:val="22"/>
          <w:u w:val="single"/>
          <w:lang w:val="en-US" w:eastAsia="fr-BE"/>
        </w:rPr>
        <w:t>Table 2</w:t>
      </w:r>
      <w:r w:rsidR="00EB53F2" w:rsidRPr="00832FDF">
        <w:rPr>
          <w:rFonts w:eastAsia="SimSun"/>
          <w:szCs w:val="22"/>
          <w:u w:val="single"/>
          <w:lang w:val="en-US" w:eastAsia="fr-BE"/>
        </w:rPr>
        <w:t xml:space="preserve"> Dosage summary for each indication in </w:t>
      </w:r>
      <w:r w:rsidR="00EB53F2">
        <w:rPr>
          <w:rFonts w:eastAsia="SimSun"/>
          <w:b/>
          <w:szCs w:val="22"/>
          <w:u w:val="single"/>
          <w:lang w:val="en-US" w:eastAsia="fr-BE"/>
        </w:rPr>
        <w:t>children over 12 years old</w:t>
      </w:r>
      <w:r w:rsidR="00EB53F2" w:rsidRPr="00832FDF">
        <w:rPr>
          <w:rFonts w:eastAsia="SimSun"/>
          <w:szCs w:val="22"/>
          <w:u w:val="single"/>
          <w:lang w:val="en-US" w:eastAsia="fr-BE"/>
        </w:rPr>
        <w:t xml:space="preserve">: </w:t>
      </w:r>
    </w:p>
    <w:p w14:paraId="1C2FC10C" w14:textId="77777777" w:rsidR="00EB53F2" w:rsidRPr="00394955" w:rsidRDefault="00EB53F2" w:rsidP="006B4557">
      <w:pPr>
        <w:rPr>
          <w:noProof/>
          <w:szCs w:val="22"/>
          <w:lang w:val="en-US"/>
        </w:rPr>
      </w:pPr>
    </w:p>
    <w:tbl>
      <w:tblPr>
        <w:tblW w:w="9639" w:type="dxa"/>
        <w:tblBorders>
          <w:insideH w:val="single" w:sz="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47"/>
        <w:gridCol w:w="2890"/>
        <w:gridCol w:w="3402"/>
      </w:tblGrid>
      <w:tr w:rsidR="00EB53F2" w:rsidRPr="005B31BD" w14:paraId="76C04968" w14:textId="77777777" w:rsidTr="00394955">
        <w:trPr>
          <w:trHeight w:val="300"/>
        </w:trPr>
        <w:tc>
          <w:tcPr>
            <w:tcW w:w="3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CD213" w14:textId="77777777" w:rsidR="00EB53F2" w:rsidRPr="00832FDF" w:rsidRDefault="00EB53F2" w:rsidP="00EB53F2">
            <w:pPr>
              <w:rPr>
                <w:bCs/>
                <w:i/>
                <w:szCs w:val="22"/>
                <w:u w:val="single"/>
              </w:rPr>
            </w:pPr>
          </w:p>
          <w:p w14:paraId="32B41A44" w14:textId="77777777" w:rsidR="00EB53F2" w:rsidRPr="00832FDF" w:rsidRDefault="00EB53F2" w:rsidP="00EB53F2">
            <w:pPr>
              <w:rPr>
                <w:bCs/>
                <w:i/>
                <w:szCs w:val="22"/>
                <w:u w:val="single"/>
              </w:rPr>
            </w:pPr>
            <w:r w:rsidRPr="00832FDF">
              <w:rPr>
                <w:bCs/>
                <w:i/>
                <w:szCs w:val="22"/>
                <w:u w:val="single"/>
              </w:rPr>
              <w:t>Indications</w:t>
            </w:r>
          </w:p>
          <w:p w14:paraId="426063D1" w14:textId="77777777" w:rsidR="00EB53F2" w:rsidRPr="00832FDF" w:rsidRDefault="00EB53F2" w:rsidP="00EB53F2">
            <w:pPr>
              <w:rPr>
                <w:bCs/>
                <w:i/>
                <w:szCs w:val="22"/>
                <w:u w:val="single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E0D06" w14:textId="4AB9C57C" w:rsidR="004130CD" w:rsidRDefault="004130CD" w:rsidP="00EB53F2">
            <w:pPr>
              <w:rPr>
                <w:bCs/>
                <w:i/>
                <w:szCs w:val="22"/>
                <w:u w:val="single"/>
              </w:rPr>
            </w:pPr>
            <w:r>
              <w:rPr>
                <w:bCs/>
                <w:i/>
                <w:szCs w:val="22"/>
                <w:u w:val="single"/>
              </w:rPr>
              <w:t>mg/ kg/ day</w:t>
            </w:r>
          </w:p>
          <w:p w14:paraId="06E21CD9" w14:textId="5DFE4B7B" w:rsidR="00EB53F2" w:rsidRPr="00832FDF" w:rsidRDefault="00EB53F2" w:rsidP="00EB53F2">
            <w:pPr>
              <w:rPr>
                <w:bCs/>
                <w:i/>
                <w:szCs w:val="22"/>
                <w:u w:val="single"/>
              </w:rPr>
            </w:pPr>
            <w:r w:rsidRPr="00832FDF">
              <w:rPr>
                <w:bCs/>
                <w:i/>
                <w:szCs w:val="22"/>
                <w:u w:val="single"/>
              </w:rPr>
              <w:t>(in one intake during a meal)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97518" w14:textId="77777777" w:rsidR="00EB53F2" w:rsidRPr="00832FDF" w:rsidRDefault="00EB53F2" w:rsidP="00EB53F2">
            <w:pPr>
              <w:rPr>
                <w:bCs/>
                <w:i/>
                <w:szCs w:val="22"/>
                <w:u w:val="single"/>
              </w:rPr>
            </w:pPr>
            <w:r w:rsidRPr="00832FDF">
              <w:rPr>
                <w:bCs/>
                <w:i/>
                <w:szCs w:val="22"/>
                <w:u w:val="single"/>
              </w:rPr>
              <w:t>Duration of treatment</w:t>
            </w:r>
          </w:p>
          <w:p w14:paraId="6D8DDF66" w14:textId="77777777" w:rsidR="00EB53F2" w:rsidRPr="00832FDF" w:rsidRDefault="00EB53F2" w:rsidP="00EB53F2">
            <w:pPr>
              <w:rPr>
                <w:bCs/>
                <w:i/>
                <w:szCs w:val="22"/>
                <w:u w:val="single"/>
              </w:rPr>
            </w:pPr>
          </w:p>
        </w:tc>
      </w:tr>
      <w:tr w:rsidR="004130CD" w:rsidRPr="005B31BD" w14:paraId="40F3E0A7" w14:textId="77777777" w:rsidTr="00394955">
        <w:trPr>
          <w:trHeight w:val="365"/>
        </w:trPr>
        <w:tc>
          <w:tcPr>
            <w:tcW w:w="3347" w:type="dxa"/>
            <w:tcBorders>
              <w:top w:val="single" w:sz="12" w:space="0" w:color="auto"/>
            </w:tcBorders>
          </w:tcPr>
          <w:p w14:paraId="49CD16A3" w14:textId="77777777" w:rsidR="004130CD" w:rsidRPr="00394955" w:rsidRDefault="004130CD" w:rsidP="00EB53F2">
            <w:pPr>
              <w:rPr>
                <w:bCs/>
                <w:szCs w:val="22"/>
              </w:rPr>
            </w:pPr>
            <w:r w:rsidRPr="00394955">
              <w:rPr>
                <w:bCs/>
                <w:szCs w:val="22"/>
              </w:rPr>
              <w:t>Urinary-genital Trichomoniasis</w:t>
            </w:r>
          </w:p>
        </w:tc>
        <w:tc>
          <w:tcPr>
            <w:tcW w:w="2890" w:type="dxa"/>
            <w:tcBorders>
              <w:top w:val="single" w:sz="12" w:space="0" w:color="auto"/>
            </w:tcBorders>
          </w:tcPr>
          <w:p w14:paraId="5BEA4ECB" w14:textId="71D96742" w:rsidR="004130CD" w:rsidRPr="005B31BD" w:rsidRDefault="004130CD" w:rsidP="00BE4E9E">
            <w:pPr>
              <w:ind w:left="-286" w:firstLine="286"/>
              <w:rPr>
                <w:bCs/>
                <w:szCs w:val="22"/>
              </w:rPr>
            </w:pPr>
            <w:r w:rsidRPr="005B31BD">
              <w:rPr>
                <w:bCs/>
                <w:szCs w:val="22"/>
                <w:lang w:val="en-US"/>
              </w:rPr>
              <w:t>50 to 75 mg/kg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DDAAF2" w14:textId="11057A9D" w:rsidR="004130CD" w:rsidRPr="005B31BD" w:rsidRDefault="004130CD" w:rsidP="00EB53F2">
            <w:pPr>
              <w:rPr>
                <w:bCs/>
                <w:szCs w:val="22"/>
              </w:rPr>
            </w:pPr>
            <w:r w:rsidRPr="005B31BD">
              <w:rPr>
                <w:bCs/>
                <w:szCs w:val="22"/>
                <w:lang w:val="en-US"/>
              </w:rPr>
              <w:t>1 (</w:t>
            </w:r>
            <w:r w:rsidRPr="005B31BD">
              <w:rPr>
                <w:bCs/>
                <w:szCs w:val="22"/>
              </w:rPr>
              <w:t>repeat one time if necessary)</w:t>
            </w:r>
          </w:p>
        </w:tc>
      </w:tr>
      <w:tr w:rsidR="004130CD" w:rsidRPr="005B31BD" w14:paraId="1E21E48D" w14:textId="77777777" w:rsidTr="00394955">
        <w:trPr>
          <w:trHeight w:val="365"/>
        </w:trPr>
        <w:tc>
          <w:tcPr>
            <w:tcW w:w="3347" w:type="dxa"/>
          </w:tcPr>
          <w:p w14:paraId="4068E3B1" w14:textId="77359AC2" w:rsidR="004130CD" w:rsidRPr="004130CD" w:rsidRDefault="004130CD" w:rsidP="00EB53F2">
            <w:pPr>
              <w:rPr>
                <w:bCs/>
                <w:szCs w:val="22"/>
              </w:rPr>
            </w:pPr>
            <w:r w:rsidRPr="00832FDF">
              <w:rPr>
                <w:rFonts w:eastAsia="SimSun"/>
                <w:szCs w:val="22"/>
                <w:lang w:val="en-US" w:eastAsia="fr-BE"/>
              </w:rPr>
              <w:t>Acute Amoebic Dysentery</w:t>
            </w:r>
          </w:p>
        </w:tc>
        <w:tc>
          <w:tcPr>
            <w:tcW w:w="2890" w:type="dxa"/>
          </w:tcPr>
          <w:p w14:paraId="12F3DF16" w14:textId="6A80D966" w:rsidR="004130CD" w:rsidRPr="005B31BD" w:rsidRDefault="004130CD" w:rsidP="00EB53F2">
            <w:pPr>
              <w:rPr>
                <w:bCs/>
                <w:szCs w:val="22"/>
                <w:lang w:val="en-US"/>
              </w:rPr>
            </w:pPr>
            <w:r w:rsidRPr="005B31BD">
              <w:rPr>
                <w:bCs/>
                <w:szCs w:val="22"/>
                <w:lang w:val="en-US"/>
              </w:rPr>
              <w:t>50 to 60 mg/kg</w:t>
            </w:r>
          </w:p>
        </w:tc>
        <w:tc>
          <w:tcPr>
            <w:tcW w:w="3402" w:type="dxa"/>
          </w:tcPr>
          <w:p w14:paraId="30C2040B" w14:textId="544DAC88" w:rsidR="004130CD" w:rsidRPr="005B31BD" w:rsidRDefault="004130CD" w:rsidP="00EB53F2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 days</w:t>
            </w:r>
          </w:p>
        </w:tc>
      </w:tr>
      <w:tr w:rsidR="004130CD" w:rsidRPr="005B31BD" w14:paraId="0410D030" w14:textId="77777777" w:rsidTr="00394955">
        <w:trPr>
          <w:trHeight w:val="365"/>
        </w:trPr>
        <w:tc>
          <w:tcPr>
            <w:tcW w:w="3347" w:type="dxa"/>
            <w:tcBorders>
              <w:bottom w:val="single" w:sz="2" w:space="0" w:color="auto"/>
            </w:tcBorders>
          </w:tcPr>
          <w:p w14:paraId="39E58084" w14:textId="444E0B34" w:rsidR="004130CD" w:rsidRPr="00832FDF" w:rsidRDefault="004130CD" w:rsidP="00EB53F2">
            <w:pPr>
              <w:rPr>
                <w:rFonts w:eastAsia="SimSun"/>
                <w:szCs w:val="22"/>
                <w:lang w:val="en-US" w:eastAsia="fr-BE"/>
              </w:rPr>
            </w:pPr>
            <w:r w:rsidRPr="005B72BB">
              <w:rPr>
                <w:rFonts w:eastAsia="SimSun"/>
                <w:szCs w:val="22"/>
                <w:lang w:val="en-US" w:eastAsia="fr-BE"/>
              </w:rPr>
              <w:t>Amoebic Liver Abscess</w:t>
            </w:r>
          </w:p>
        </w:tc>
        <w:tc>
          <w:tcPr>
            <w:tcW w:w="2890" w:type="dxa"/>
            <w:tcBorders>
              <w:bottom w:val="single" w:sz="2" w:space="0" w:color="auto"/>
            </w:tcBorders>
          </w:tcPr>
          <w:p w14:paraId="34802338" w14:textId="4BCC71DD" w:rsidR="004130CD" w:rsidRPr="005B31BD" w:rsidRDefault="004130CD" w:rsidP="00EB53F2">
            <w:pPr>
              <w:rPr>
                <w:bCs/>
                <w:szCs w:val="22"/>
                <w:lang w:val="en-US"/>
              </w:rPr>
            </w:pPr>
            <w:r w:rsidRPr="005B72BB">
              <w:rPr>
                <w:rFonts w:eastAsia="SimSun"/>
                <w:szCs w:val="22"/>
                <w:lang w:val="en-US" w:eastAsia="fr-BE"/>
              </w:rPr>
              <w:t>Amoebic Liver Abscess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32D3D7F6" w14:textId="1C465B0D" w:rsidR="004130CD" w:rsidRDefault="004130CD" w:rsidP="00EB53F2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 days</w:t>
            </w:r>
          </w:p>
        </w:tc>
      </w:tr>
      <w:tr w:rsidR="004130CD" w:rsidRPr="005B31BD" w14:paraId="44FA75C6" w14:textId="77777777" w:rsidTr="00394955">
        <w:trPr>
          <w:trHeight w:val="365"/>
        </w:trPr>
        <w:tc>
          <w:tcPr>
            <w:tcW w:w="3347" w:type="dxa"/>
            <w:tcBorders>
              <w:top w:val="single" w:sz="2" w:space="0" w:color="auto"/>
              <w:bottom w:val="single" w:sz="2" w:space="0" w:color="auto"/>
            </w:tcBorders>
          </w:tcPr>
          <w:p w14:paraId="490DBF35" w14:textId="1A1901AE" w:rsidR="004130CD" w:rsidRPr="005B72BB" w:rsidRDefault="004130CD" w:rsidP="00EB53F2">
            <w:pPr>
              <w:rPr>
                <w:rFonts w:eastAsia="SimSun"/>
                <w:szCs w:val="22"/>
                <w:lang w:val="en-US" w:eastAsia="fr-BE"/>
              </w:rPr>
            </w:pPr>
            <w:r w:rsidRPr="00832FDF">
              <w:rPr>
                <w:bCs/>
                <w:szCs w:val="22"/>
              </w:rPr>
              <w:t>Giardiasis</w:t>
            </w:r>
          </w:p>
        </w:tc>
        <w:tc>
          <w:tcPr>
            <w:tcW w:w="2890" w:type="dxa"/>
            <w:tcBorders>
              <w:top w:val="single" w:sz="2" w:space="0" w:color="auto"/>
              <w:bottom w:val="single" w:sz="2" w:space="0" w:color="auto"/>
            </w:tcBorders>
          </w:tcPr>
          <w:p w14:paraId="2F6D1D9C" w14:textId="456B9C46" w:rsidR="004130CD" w:rsidRPr="005B72BB" w:rsidRDefault="004130CD" w:rsidP="00EB53F2">
            <w:pPr>
              <w:rPr>
                <w:rFonts w:eastAsia="SimSun"/>
                <w:szCs w:val="22"/>
                <w:lang w:val="en-US" w:eastAsia="fr-BE"/>
              </w:rPr>
            </w:pPr>
            <w:r w:rsidRPr="005B31BD">
              <w:rPr>
                <w:bCs/>
                <w:szCs w:val="22"/>
              </w:rPr>
              <w:t>50 to 75 mg/kg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815BCD9" w14:textId="67E59BEA" w:rsidR="004130CD" w:rsidRDefault="004130CD" w:rsidP="00EB53F2">
            <w:pPr>
              <w:rPr>
                <w:bCs/>
                <w:szCs w:val="22"/>
                <w:lang w:val="en-US"/>
              </w:rPr>
            </w:pPr>
            <w:r w:rsidRPr="005B31BD">
              <w:rPr>
                <w:bCs/>
                <w:szCs w:val="22"/>
                <w:lang w:val="en-US"/>
              </w:rPr>
              <w:t>1</w:t>
            </w:r>
            <w:r>
              <w:rPr>
                <w:bCs/>
                <w:szCs w:val="22"/>
                <w:lang w:val="en-US"/>
              </w:rPr>
              <w:t xml:space="preserve"> day (repeat once </w:t>
            </w:r>
            <w:r w:rsidRPr="005B31BD">
              <w:rPr>
                <w:bCs/>
                <w:szCs w:val="22"/>
                <w:lang w:val="en-US"/>
              </w:rPr>
              <w:t>if necessary)</w:t>
            </w:r>
          </w:p>
        </w:tc>
      </w:tr>
    </w:tbl>
    <w:p w14:paraId="53A292E0" w14:textId="25690A3B" w:rsidR="009231D8" w:rsidRPr="00394955" w:rsidRDefault="009231D8" w:rsidP="00394955">
      <w:pPr>
        <w:jc w:val="both"/>
        <w:rPr>
          <w:noProof/>
          <w:szCs w:val="22"/>
          <w:u w:val="single"/>
        </w:rPr>
      </w:pPr>
      <w:r w:rsidRPr="00394955">
        <w:rPr>
          <w:noProof/>
          <w:szCs w:val="22"/>
          <w:u w:val="single"/>
        </w:rPr>
        <w:lastRenderedPageBreak/>
        <w:t>Patients with hepatic failure</w:t>
      </w:r>
    </w:p>
    <w:p w14:paraId="0BF02373" w14:textId="1C2FF2F3" w:rsidR="009231D8" w:rsidRPr="00394955" w:rsidRDefault="009065E2" w:rsidP="00394955">
      <w:pPr>
        <w:jc w:val="both"/>
        <w:rPr>
          <w:noProof/>
          <w:szCs w:val="22"/>
        </w:rPr>
      </w:pPr>
      <w:r>
        <w:rPr>
          <w:noProof/>
          <w:szCs w:val="22"/>
        </w:rPr>
        <w:t>There is no clinical or pharmacokinetic data on tinidazole use in patients with hepatic impairment. It is known that a significant amount of tinidazole dose is eliminated by the hepatic metabolism. Therefore, caution is recommended when treating patients with hepatic impairment, especially when the drug is administrated for a longer period of time (&gt; 5 days).</w:t>
      </w:r>
    </w:p>
    <w:p w14:paraId="0362EE5C" w14:textId="1C9C1081" w:rsidR="009065E2" w:rsidRDefault="009065E2" w:rsidP="00394955">
      <w:pPr>
        <w:jc w:val="both"/>
        <w:rPr>
          <w:i/>
          <w:noProof/>
          <w:szCs w:val="22"/>
        </w:rPr>
      </w:pPr>
    </w:p>
    <w:p w14:paraId="3FAE7F0A" w14:textId="0B27E372" w:rsidR="00806C23" w:rsidRPr="00394955" w:rsidRDefault="00D573B8" w:rsidP="00394955">
      <w:pPr>
        <w:jc w:val="both"/>
        <w:rPr>
          <w:noProof/>
          <w:szCs w:val="22"/>
          <w:u w:val="single"/>
        </w:rPr>
      </w:pPr>
      <w:r w:rsidRPr="00394955">
        <w:rPr>
          <w:noProof/>
          <w:szCs w:val="22"/>
          <w:u w:val="single"/>
        </w:rPr>
        <w:t>Patients with</w:t>
      </w:r>
      <w:r w:rsidR="00806C23" w:rsidRPr="00394955">
        <w:rPr>
          <w:noProof/>
          <w:szCs w:val="22"/>
          <w:u w:val="single"/>
        </w:rPr>
        <w:t xml:space="preserve"> renal impairment </w:t>
      </w:r>
    </w:p>
    <w:p w14:paraId="244C7A9A" w14:textId="144D3C4C" w:rsidR="00806C23" w:rsidRDefault="00806C23" w:rsidP="00394955">
      <w:pPr>
        <w:jc w:val="both"/>
        <w:rPr>
          <w:noProof/>
          <w:szCs w:val="22"/>
        </w:rPr>
      </w:pPr>
      <w:r>
        <w:rPr>
          <w:noProof/>
          <w:szCs w:val="22"/>
        </w:rPr>
        <w:t>Dosage adjustements in patients with impaired renal function are generally not necessary. However, because tinidazole is easily removed by haemodialysis, patients may require additional doses of tinidazole to compensate.</w:t>
      </w:r>
    </w:p>
    <w:p w14:paraId="250822DD" w14:textId="1C2B3D10" w:rsidR="00806C23" w:rsidRDefault="00806C23" w:rsidP="00394955">
      <w:pPr>
        <w:jc w:val="both"/>
        <w:rPr>
          <w:noProof/>
          <w:szCs w:val="22"/>
        </w:rPr>
      </w:pPr>
    </w:p>
    <w:p w14:paraId="41D23E04" w14:textId="2F0428BE" w:rsidR="00D573B8" w:rsidRDefault="00D573B8" w:rsidP="00394955">
      <w:pPr>
        <w:jc w:val="both"/>
        <w:rPr>
          <w:b/>
          <w:noProof/>
          <w:szCs w:val="22"/>
        </w:rPr>
      </w:pPr>
      <w:r w:rsidRPr="00394955">
        <w:rPr>
          <w:b/>
          <w:noProof/>
          <w:szCs w:val="22"/>
        </w:rPr>
        <w:t>Method of administration</w:t>
      </w:r>
    </w:p>
    <w:p w14:paraId="4D9BD564" w14:textId="619ECC42" w:rsidR="00D573B8" w:rsidRDefault="00D573B8" w:rsidP="00394955">
      <w:pPr>
        <w:jc w:val="both"/>
        <w:rPr>
          <w:noProof/>
          <w:szCs w:val="22"/>
        </w:rPr>
      </w:pPr>
      <w:r>
        <w:rPr>
          <w:noProof/>
          <w:szCs w:val="22"/>
        </w:rPr>
        <w:t>It is recommended to take TINAZOL during or after a meal.</w:t>
      </w:r>
    </w:p>
    <w:p w14:paraId="541AEA08" w14:textId="26ADCD23" w:rsidR="00D573B8" w:rsidRPr="00D573B8" w:rsidRDefault="00D573B8" w:rsidP="00394955">
      <w:pPr>
        <w:jc w:val="both"/>
        <w:rPr>
          <w:noProof/>
          <w:szCs w:val="22"/>
        </w:rPr>
      </w:pPr>
      <w:r>
        <w:rPr>
          <w:noProof/>
          <w:szCs w:val="22"/>
        </w:rPr>
        <w:t>Concomitant intake of alcoholic beverages should be avoided (see section 4.5).</w:t>
      </w:r>
    </w:p>
    <w:p w14:paraId="442E459C" w14:textId="77777777" w:rsidR="00D45488" w:rsidRPr="00F174D7" w:rsidRDefault="00D45488" w:rsidP="006B4557">
      <w:pPr>
        <w:rPr>
          <w:noProof/>
          <w:szCs w:val="22"/>
        </w:rPr>
      </w:pPr>
    </w:p>
    <w:p w14:paraId="3E315CE5" w14:textId="77777777" w:rsidR="00812D16" w:rsidRPr="00F174D7" w:rsidRDefault="00812D16" w:rsidP="006B4557">
      <w:pPr>
        <w:ind w:left="567" w:hanging="567"/>
        <w:rPr>
          <w:noProof/>
          <w:szCs w:val="22"/>
        </w:rPr>
      </w:pPr>
      <w:r w:rsidRPr="00F174D7">
        <w:rPr>
          <w:b/>
          <w:noProof/>
          <w:szCs w:val="22"/>
        </w:rPr>
        <w:t>4.3</w:t>
      </w:r>
      <w:r w:rsidRPr="00F174D7">
        <w:rPr>
          <w:b/>
          <w:noProof/>
          <w:szCs w:val="22"/>
        </w:rPr>
        <w:tab/>
        <w:t>Contraindications</w:t>
      </w:r>
    </w:p>
    <w:p w14:paraId="06C59443" w14:textId="77777777" w:rsidR="00812D16" w:rsidRPr="00F174D7" w:rsidRDefault="00812D16" w:rsidP="006B4557">
      <w:pPr>
        <w:rPr>
          <w:noProof/>
          <w:szCs w:val="22"/>
        </w:rPr>
      </w:pPr>
    </w:p>
    <w:p w14:paraId="03E67754" w14:textId="1332493F" w:rsidR="00D573B8" w:rsidRPr="00394955" w:rsidRDefault="00D573B8" w:rsidP="00394955">
      <w:pPr>
        <w:pStyle w:val="Paragraphedeliste"/>
        <w:numPr>
          <w:ilvl w:val="0"/>
          <w:numId w:val="34"/>
        </w:numPr>
        <w:tabs>
          <w:tab w:val="clear" w:pos="567"/>
        </w:tabs>
        <w:suppressAutoHyphens/>
        <w:spacing w:line="240" w:lineRule="auto"/>
        <w:ind w:left="284" w:hanging="284"/>
        <w:jc w:val="both"/>
        <w:rPr>
          <w:noProof/>
          <w:szCs w:val="22"/>
          <w:lang w:eastAsia="fr-FR"/>
        </w:rPr>
      </w:pPr>
      <w:r w:rsidRPr="00394955">
        <w:rPr>
          <w:noProof/>
          <w:szCs w:val="22"/>
          <w:lang w:eastAsia="fr-FR"/>
        </w:rPr>
        <w:t>Hypersensitivity to the active substance</w:t>
      </w:r>
      <w:r w:rsidR="00001325" w:rsidRPr="00394955">
        <w:rPr>
          <w:noProof/>
          <w:szCs w:val="22"/>
          <w:lang w:eastAsia="fr-FR"/>
        </w:rPr>
        <w:t>, tinidazole,</w:t>
      </w:r>
      <w:r w:rsidRPr="00394955">
        <w:rPr>
          <w:noProof/>
          <w:szCs w:val="22"/>
          <w:lang w:eastAsia="fr-FR"/>
        </w:rPr>
        <w:t xml:space="preserve"> or</w:t>
      </w:r>
      <w:r w:rsidR="00001325" w:rsidRPr="00394955">
        <w:rPr>
          <w:noProof/>
          <w:szCs w:val="22"/>
          <w:lang w:eastAsia="fr-FR"/>
        </w:rPr>
        <w:t xml:space="preserve"> other 5-nitroimidazole derivatives, or</w:t>
      </w:r>
      <w:r w:rsidRPr="00394955">
        <w:rPr>
          <w:noProof/>
          <w:szCs w:val="22"/>
          <w:lang w:eastAsia="fr-FR"/>
        </w:rPr>
        <w:t xml:space="preserve"> to any of the excipients listed in section 6.1.</w:t>
      </w:r>
    </w:p>
    <w:p w14:paraId="7B0C77C6" w14:textId="60B51C4B" w:rsidR="00683C79" w:rsidRPr="00394955" w:rsidRDefault="00683C79" w:rsidP="00394955">
      <w:pPr>
        <w:pStyle w:val="Paragraphedeliste"/>
        <w:numPr>
          <w:ilvl w:val="0"/>
          <w:numId w:val="34"/>
        </w:numPr>
        <w:tabs>
          <w:tab w:val="clear" w:pos="567"/>
        </w:tabs>
        <w:suppressAutoHyphens/>
        <w:spacing w:line="240" w:lineRule="auto"/>
        <w:ind w:left="284" w:hanging="284"/>
        <w:jc w:val="both"/>
        <w:rPr>
          <w:noProof/>
          <w:szCs w:val="22"/>
          <w:lang w:eastAsia="fr-FR"/>
        </w:rPr>
      </w:pPr>
      <w:r w:rsidRPr="00394955">
        <w:rPr>
          <w:noProof/>
          <w:szCs w:val="22"/>
          <w:lang w:eastAsia="fr-FR"/>
        </w:rPr>
        <w:t xml:space="preserve">Pregnancy and breastfeeding : </w:t>
      </w:r>
      <w:r w:rsidRPr="004940B3">
        <w:rPr>
          <w:rFonts w:eastAsia="SimSun"/>
          <w:szCs w:val="22"/>
          <w:lang w:val="en-US" w:eastAsia="fr-BE"/>
        </w:rPr>
        <w:t xml:space="preserve">tinidazole is contraindicated during the first trimester of </w:t>
      </w:r>
      <w:proofErr w:type="spellStart"/>
      <w:r w:rsidRPr="004940B3">
        <w:rPr>
          <w:rFonts w:eastAsia="SimSun"/>
          <w:szCs w:val="22"/>
          <w:lang w:val="en-US" w:eastAsia="fr-BE"/>
        </w:rPr>
        <w:t>pregnancy.and</w:t>
      </w:r>
      <w:proofErr w:type="spellEnd"/>
      <w:r w:rsidRPr="004940B3">
        <w:rPr>
          <w:rFonts w:eastAsia="SimSun"/>
          <w:szCs w:val="22"/>
          <w:lang w:val="en-US" w:eastAsia="fr-BE"/>
        </w:rPr>
        <w:t xml:space="preserve"> in breastfeeding women (see section 4.6).</w:t>
      </w:r>
    </w:p>
    <w:p w14:paraId="64D5845C" w14:textId="720EE5B4" w:rsidR="00723205" w:rsidRPr="00394955" w:rsidRDefault="00723205" w:rsidP="00394955">
      <w:pPr>
        <w:pStyle w:val="Paragraphedeliste"/>
        <w:numPr>
          <w:ilvl w:val="0"/>
          <w:numId w:val="34"/>
        </w:numPr>
        <w:tabs>
          <w:tab w:val="clear" w:pos="567"/>
        </w:tabs>
        <w:suppressAutoHyphens/>
        <w:spacing w:line="240" w:lineRule="auto"/>
        <w:ind w:left="284" w:hanging="284"/>
        <w:jc w:val="both"/>
        <w:rPr>
          <w:noProof/>
          <w:szCs w:val="22"/>
          <w:lang w:eastAsia="fr-FR"/>
        </w:rPr>
      </w:pPr>
      <w:r w:rsidRPr="00394955">
        <w:rPr>
          <w:noProof/>
          <w:szCs w:val="22"/>
          <w:lang w:eastAsia="fr-FR"/>
        </w:rPr>
        <w:t xml:space="preserve">As with other drugs of similar structure, </w:t>
      </w:r>
      <w:r w:rsidR="00683C79" w:rsidRPr="00394955">
        <w:rPr>
          <w:noProof/>
          <w:szCs w:val="22"/>
          <w:lang w:eastAsia="fr-FR"/>
        </w:rPr>
        <w:t xml:space="preserve">TINAZOL </w:t>
      </w:r>
      <w:r w:rsidRPr="00394955">
        <w:rPr>
          <w:noProof/>
          <w:szCs w:val="22"/>
          <w:lang w:eastAsia="fr-FR"/>
        </w:rPr>
        <w:t>is contraindicated in patients having, or with a history of, blood dyscrasia, although no persistent haematological abnormalities have been noted in clinical or animal</w:t>
      </w:r>
      <w:r w:rsidR="00683C79" w:rsidRPr="00394955">
        <w:rPr>
          <w:noProof/>
          <w:szCs w:val="22"/>
          <w:lang w:eastAsia="fr-FR"/>
        </w:rPr>
        <w:t xml:space="preserve"> toxicology</w:t>
      </w:r>
      <w:r w:rsidRPr="00394955">
        <w:rPr>
          <w:noProof/>
          <w:szCs w:val="22"/>
          <w:lang w:eastAsia="fr-FR"/>
        </w:rPr>
        <w:t xml:space="preserve"> studies.</w:t>
      </w:r>
    </w:p>
    <w:p w14:paraId="6E43BC33" w14:textId="5874B1FF" w:rsidR="00723205" w:rsidRPr="00394955" w:rsidRDefault="00683C79" w:rsidP="00394955">
      <w:pPr>
        <w:pStyle w:val="Paragraphedeliste"/>
        <w:numPr>
          <w:ilvl w:val="0"/>
          <w:numId w:val="34"/>
        </w:numPr>
        <w:tabs>
          <w:tab w:val="clear" w:pos="567"/>
        </w:tabs>
        <w:suppressAutoHyphens/>
        <w:spacing w:line="240" w:lineRule="auto"/>
        <w:ind w:left="284" w:hanging="284"/>
        <w:jc w:val="both"/>
        <w:rPr>
          <w:noProof/>
          <w:szCs w:val="22"/>
          <w:lang w:eastAsia="fr-FR"/>
        </w:rPr>
      </w:pPr>
      <w:r w:rsidRPr="00394955">
        <w:rPr>
          <w:noProof/>
          <w:szCs w:val="22"/>
          <w:lang w:eastAsia="fr-FR"/>
        </w:rPr>
        <w:t>TINAZOL</w:t>
      </w:r>
      <w:r w:rsidR="00723205" w:rsidRPr="00394955">
        <w:rPr>
          <w:noProof/>
          <w:szCs w:val="22"/>
          <w:lang w:eastAsia="fr-FR"/>
        </w:rPr>
        <w:t xml:space="preserve"> should be avoided in patients with organic neurological disorders</w:t>
      </w:r>
      <w:r w:rsidRPr="00394955">
        <w:rPr>
          <w:noProof/>
          <w:szCs w:val="22"/>
          <w:lang w:eastAsia="fr-FR"/>
        </w:rPr>
        <w:t>.</w:t>
      </w:r>
    </w:p>
    <w:p w14:paraId="5729B3A6" w14:textId="77777777" w:rsidR="00C864FB" w:rsidRDefault="00C864FB" w:rsidP="006B4557">
      <w:pPr>
        <w:rPr>
          <w:noProof/>
          <w:szCs w:val="22"/>
          <w:lang w:val="en-US"/>
        </w:rPr>
      </w:pPr>
    </w:p>
    <w:p w14:paraId="75DDDBBE" w14:textId="77777777" w:rsidR="00D45488" w:rsidRPr="00F174D7" w:rsidRDefault="00D45488" w:rsidP="006B4557">
      <w:pPr>
        <w:rPr>
          <w:noProof/>
          <w:szCs w:val="22"/>
          <w:lang w:val="en-US"/>
        </w:rPr>
      </w:pPr>
    </w:p>
    <w:p w14:paraId="5B43EC34" w14:textId="77777777" w:rsidR="00812D16" w:rsidRPr="00F174D7" w:rsidRDefault="00812D16" w:rsidP="006B4557">
      <w:pPr>
        <w:ind w:left="567" w:hanging="567"/>
        <w:rPr>
          <w:b/>
          <w:noProof/>
          <w:szCs w:val="22"/>
        </w:rPr>
      </w:pPr>
      <w:r w:rsidRPr="00F174D7">
        <w:rPr>
          <w:b/>
          <w:noProof/>
          <w:szCs w:val="22"/>
        </w:rPr>
        <w:t>4.4</w:t>
      </w:r>
      <w:r w:rsidRPr="00F174D7">
        <w:rPr>
          <w:b/>
          <w:noProof/>
          <w:szCs w:val="22"/>
        </w:rPr>
        <w:tab/>
        <w:t>Special warnings and precautions for use</w:t>
      </w:r>
    </w:p>
    <w:p w14:paraId="57C95B2F" w14:textId="77777777" w:rsidR="00812D16" w:rsidRPr="00F174D7" w:rsidRDefault="00812D16" w:rsidP="006B4557">
      <w:pPr>
        <w:ind w:left="567" w:hanging="567"/>
        <w:rPr>
          <w:b/>
          <w:noProof/>
          <w:szCs w:val="22"/>
        </w:rPr>
      </w:pPr>
    </w:p>
    <w:p w14:paraId="7FED548B" w14:textId="49BE61DF" w:rsidR="004940B3" w:rsidRDefault="004164E5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eastAsia="fr-FR"/>
        </w:rPr>
      </w:pPr>
      <w:r w:rsidRPr="004940B3">
        <w:rPr>
          <w:rFonts w:eastAsia="SimSun"/>
          <w:szCs w:val="22"/>
          <w:lang w:val="en-US" w:eastAsia="fr-BE"/>
        </w:rPr>
        <w:t xml:space="preserve">Carcinogenicity has been seen in </w:t>
      </w:r>
      <w:r w:rsidR="004940B3" w:rsidRPr="004940B3">
        <w:rPr>
          <w:rFonts w:eastAsia="SimSun"/>
          <w:szCs w:val="22"/>
          <w:lang w:val="en-US" w:eastAsia="fr-BE"/>
        </w:rPr>
        <w:t>mice and rat</w:t>
      </w:r>
      <w:r w:rsidR="0035530B" w:rsidRPr="004940B3">
        <w:rPr>
          <w:rFonts w:eastAsia="SimSun"/>
          <w:szCs w:val="22"/>
          <w:lang w:val="en-US" w:eastAsia="fr-BE"/>
        </w:rPr>
        <w:t>s</w:t>
      </w:r>
      <w:r w:rsidR="004940B3" w:rsidRPr="004940B3">
        <w:rPr>
          <w:rFonts w:eastAsia="SimSun"/>
          <w:szCs w:val="22"/>
          <w:lang w:val="en-US" w:eastAsia="fr-BE"/>
        </w:rPr>
        <w:t xml:space="preserve"> chronically treated with metronidazole, an</w:t>
      </w:r>
      <w:r w:rsidR="004940B3" w:rsidRPr="00394955">
        <w:rPr>
          <w:noProof/>
          <w:szCs w:val="22"/>
          <w:lang w:eastAsia="fr-FR"/>
        </w:rPr>
        <w:t>other 5-nitroimidazole derivatives. Althoug carcinogenecity data are not available for tinidazole, the two molecules are structurally similar</w:t>
      </w:r>
      <w:r w:rsidR="004940B3">
        <w:rPr>
          <w:noProof/>
          <w:szCs w:val="22"/>
          <w:lang w:eastAsia="fr-FR"/>
        </w:rPr>
        <w:t xml:space="preserve"> and therefore likely to induce the same biological effects. Mutagenicity results with tinidazole were mixed (positive and negative) (see section 5.3). The use of tinidazole for a longer period of treatment than generally recommended should be carefully considered.</w:t>
      </w:r>
    </w:p>
    <w:p w14:paraId="6C2C537B" w14:textId="77777777" w:rsidR="004940B3" w:rsidRDefault="004940B3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eastAsia="fr-FR"/>
        </w:rPr>
      </w:pPr>
    </w:p>
    <w:p w14:paraId="6185F2CA" w14:textId="0FD33551" w:rsidR="004164E5" w:rsidRDefault="004164E5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4940B3">
        <w:rPr>
          <w:rFonts w:eastAsia="SimSun"/>
          <w:szCs w:val="22"/>
          <w:lang w:val="en-US" w:eastAsia="fr-BE"/>
        </w:rPr>
        <w:t>Neuro</w:t>
      </w:r>
      <w:r w:rsidR="00BB1615" w:rsidRPr="004940B3">
        <w:rPr>
          <w:rFonts w:eastAsia="SimSun"/>
          <w:szCs w:val="22"/>
          <w:lang w:val="en-US" w:eastAsia="fr-BE"/>
        </w:rPr>
        <w:t>lo</w:t>
      </w:r>
      <w:r w:rsidRPr="004940B3">
        <w:rPr>
          <w:rFonts w:eastAsia="SimSun"/>
          <w:szCs w:val="22"/>
          <w:lang w:val="en-US" w:eastAsia="fr-BE"/>
        </w:rPr>
        <w:t>gic</w:t>
      </w:r>
      <w:r>
        <w:rPr>
          <w:rFonts w:eastAsia="SimSun"/>
          <w:szCs w:val="22"/>
          <w:lang w:val="en-US" w:eastAsia="fr-BE"/>
        </w:rPr>
        <w:t>al disturbances such as dizziness, vertigo, incoordination</w:t>
      </w:r>
      <w:r w:rsidR="00245671">
        <w:rPr>
          <w:rFonts w:eastAsia="SimSun"/>
          <w:szCs w:val="22"/>
          <w:lang w:val="en-US" w:eastAsia="fr-BE"/>
        </w:rPr>
        <w:t>,</w:t>
      </w:r>
      <w:r>
        <w:rPr>
          <w:rFonts w:eastAsia="SimSun"/>
          <w:szCs w:val="22"/>
          <w:lang w:val="en-US" w:eastAsia="fr-BE"/>
        </w:rPr>
        <w:t xml:space="preserve"> ataxia</w:t>
      </w:r>
      <w:r w:rsidR="00245671">
        <w:rPr>
          <w:rFonts w:eastAsia="SimSun"/>
          <w:szCs w:val="22"/>
          <w:lang w:val="en-US" w:eastAsia="fr-BE"/>
        </w:rPr>
        <w:t>, peripheral neuropathy and, rarely convulsions may</w:t>
      </w:r>
      <w:r>
        <w:rPr>
          <w:rFonts w:eastAsia="SimSun"/>
          <w:szCs w:val="22"/>
          <w:lang w:val="en-US" w:eastAsia="fr-BE"/>
        </w:rPr>
        <w:t xml:space="preserve"> occur. </w:t>
      </w:r>
      <w:r w:rsidR="00D22EB7">
        <w:rPr>
          <w:rFonts w:eastAsia="SimSun"/>
          <w:szCs w:val="22"/>
          <w:lang w:val="en-US" w:eastAsia="fr-BE"/>
        </w:rPr>
        <w:t xml:space="preserve">If suspicious neurological symptoms occur during tinidazole treatment, the treatment should be discontinued. </w:t>
      </w:r>
    </w:p>
    <w:p w14:paraId="6AC0083F" w14:textId="01EE7F4A" w:rsidR="00D22EB7" w:rsidRDefault="00D22EB7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Concomitant use of alcohol</w:t>
      </w:r>
      <w:r w:rsidR="00245671">
        <w:rPr>
          <w:rFonts w:eastAsia="SimSun"/>
          <w:szCs w:val="22"/>
          <w:lang w:val="en-US" w:eastAsia="fr-BE"/>
        </w:rPr>
        <w:t>ic beverages</w:t>
      </w:r>
      <w:r>
        <w:rPr>
          <w:rFonts w:eastAsia="SimSun"/>
          <w:szCs w:val="22"/>
          <w:lang w:val="en-US" w:eastAsia="fr-BE"/>
        </w:rPr>
        <w:t xml:space="preserve"> should be avoided during tinidazole </w:t>
      </w:r>
      <w:r w:rsidR="00245671">
        <w:rPr>
          <w:rFonts w:eastAsia="SimSun"/>
          <w:szCs w:val="22"/>
          <w:lang w:val="en-US" w:eastAsia="fr-BE"/>
        </w:rPr>
        <w:t xml:space="preserve">treatment </w:t>
      </w:r>
      <w:r>
        <w:rPr>
          <w:rFonts w:eastAsia="SimSun"/>
          <w:szCs w:val="22"/>
          <w:lang w:val="en-US" w:eastAsia="fr-BE"/>
        </w:rPr>
        <w:t xml:space="preserve">and </w:t>
      </w:r>
      <w:r w:rsidR="00245671">
        <w:rPr>
          <w:rFonts w:eastAsia="SimSun"/>
          <w:szCs w:val="22"/>
          <w:lang w:val="en-US" w:eastAsia="fr-BE"/>
        </w:rPr>
        <w:t xml:space="preserve">at least </w:t>
      </w:r>
      <w:r>
        <w:rPr>
          <w:rFonts w:eastAsia="SimSun"/>
          <w:szCs w:val="22"/>
          <w:lang w:val="en-US" w:eastAsia="fr-BE"/>
        </w:rPr>
        <w:t>until three days after discontinuing tinidazole</w:t>
      </w:r>
      <w:r w:rsidR="004B3EE8">
        <w:rPr>
          <w:rFonts w:eastAsia="SimSun"/>
          <w:szCs w:val="22"/>
          <w:lang w:val="en-US" w:eastAsia="fr-BE"/>
        </w:rPr>
        <w:t xml:space="preserve"> (see section 4.5).</w:t>
      </w:r>
    </w:p>
    <w:p w14:paraId="6409430F" w14:textId="77777777" w:rsidR="002C413D" w:rsidRDefault="002C413D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noProof/>
          <w:szCs w:val="22"/>
          <w:lang w:val="en-US"/>
        </w:rPr>
        <w:t xml:space="preserve">This drug contains </w:t>
      </w:r>
      <w:r w:rsidRPr="00B25859">
        <w:rPr>
          <w:noProof/>
          <w:szCs w:val="22"/>
          <w:lang w:val="en-US"/>
        </w:rPr>
        <w:t xml:space="preserve">sodium methylparahydroxybenzoate </w:t>
      </w:r>
      <w:r>
        <w:rPr>
          <w:noProof/>
          <w:szCs w:val="22"/>
          <w:lang w:val="en-US"/>
        </w:rPr>
        <w:t>and</w:t>
      </w:r>
      <w:r w:rsidRPr="00B25859">
        <w:rPr>
          <w:noProof/>
          <w:szCs w:val="22"/>
          <w:lang w:val="en-US"/>
        </w:rPr>
        <w:t xml:space="preserve"> sodium propylparahydroxybenzoate</w:t>
      </w:r>
      <w:r>
        <w:rPr>
          <w:noProof/>
          <w:szCs w:val="22"/>
          <w:lang w:val="en-US"/>
        </w:rPr>
        <w:t xml:space="preserve"> that may cause allergic reactions (including delayed reactions).</w:t>
      </w:r>
    </w:p>
    <w:p w14:paraId="0E3CDF15" w14:textId="77777777" w:rsidR="00812D16" w:rsidRPr="00F174D7" w:rsidRDefault="00812D16" w:rsidP="006B4557">
      <w:pPr>
        <w:outlineLvl w:val="0"/>
        <w:rPr>
          <w:noProof/>
          <w:szCs w:val="22"/>
        </w:rPr>
      </w:pPr>
    </w:p>
    <w:p w14:paraId="5046D56F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4.5</w:t>
      </w:r>
      <w:r w:rsidRPr="00F174D7">
        <w:rPr>
          <w:b/>
          <w:noProof/>
          <w:szCs w:val="22"/>
        </w:rPr>
        <w:tab/>
        <w:t>Interaction with other medicinal products and other forms of interaction</w:t>
      </w:r>
    </w:p>
    <w:p w14:paraId="71AAAF90" w14:textId="77777777" w:rsidR="004B3EE8" w:rsidRDefault="004B3EE8" w:rsidP="006B4557">
      <w:pPr>
        <w:rPr>
          <w:rFonts w:eastAsia="SimSun"/>
          <w:szCs w:val="22"/>
          <w:lang w:val="en-US" w:eastAsia="fr-BE"/>
        </w:rPr>
      </w:pPr>
    </w:p>
    <w:p w14:paraId="072E630F" w14:textId="760C8249" w:rsidR="004B3EE8" w:rsidRPr="00394955" w:rsidRDefault="004B3EE8" w:rsidP="00394955">
      <w:pPr>
        <w:jc w:val="both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>Alcohol:</w:t>
      </w:r>
    </w:p>
    <w:p w14:paraId="58EF349C" w14:textId="4719AC18" w:rsidR="004B3EE8" w:rsidRDefault="008D11D1" w:rsidP="00394955">
      <w:pPr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Alcoholic beverages should be avoided during tinidazole treatment and at least until three days after discontinuing tinidazole</w:t>
      </w:r>
      <w:r w:rsidRPr="008D11D1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as a disulfiram-like reaction may occur (flushing, abdominal cramps, vomiting, tachycardia)).</w:t>
      </w:r>
    </w:p>
    <w:p w14:paraId="069B8068" w14:textId="77777777" w:rsidR="008D11D1" w:rsidRDefault="008D11D1" w:rsidP="00394955">
      <w:pPr>
        <w:jc w:val="both"/>
        <w:rPr>
          <w:rFonts w:eastAsia="SimSun"/>
          <w:szCs w:val="22"/>
          <w:lang w:val="en-US" w:eastAsia="fr-BE"/>
        </w:rPr>
      </w:pPr>
    </w:p>
    <w:p w14:paraId="76BD4FD0" w14:textId="166BACE6" w:rsidR="004B3EE8" w:rsidRPr="00394955" w:rsidRDefault="004B3EE8" w:rsidP="00394955">
      <w:pPr>
        <w:jc w:val="both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>Anticoagulants</w:t>
      </w:r>
      <w:r w:rsidR="00823515" w:rsidRPr="00394955">
        <w:rPr>
          <w:rFonts w:eastAsia="SimSun"/>
          <w:szCs w:val="22"/>
          <w:u w:val="single"/>
          <w:lang w:val="en-US" w:eastAsia="fr-BE"/>
        </w:rPr>
        <w:t>:</w:t>
      </w:r>
    </w:p>
    <w:p w14:paraId="4876F4FE" w14:textId="617112AC" w:rsidR="00812D16" w:rsidRPr="00F174D7" w:rsidRDefault="008D11D1" w:rsidP="00394955">
      <w:pPr>
        <w:jc w:val="both"/>
        <w:rPr>
          <w:noProof/>
          <w:szCs w:val="22"/>
        </w:rPr>
      </w:pPr>
      <w:r>
        <w:rPr>
          <w:noProof/>
          <w:szCs w:val="22"/>
        </w:rPr>
        <w:t xml:space="preserve">TINAZOL, as </w:t>
      </w:r>
      <w:r w:rsidRPr="00832FDF">
        <w:rPr>
          <w:noProof/>
          <w:szCs w:val="22"/>
          <w:lang w:eastAsia="fr-FR"/>
        </w:rPr>
        <w:t>other 5-nitroimidazole derivatives</w:t>
      </w:r>
      <w:r w:rsidRPr="00D127DA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may</w:t>
      </w:r>
      <w:r w:rsidRPr="00D127DA">
        <w:rPr>
          <w:rFonts w:eastAsia="SimSun"/>
          <w:szCs w:val="22"/>
          <w:lang w:val="en-US" w:eastAsia="fr-BE"/>
        </w:rPr>
        <w:t xml:space="preserve"> potentiate the effects of </w:t>
      </w:r>
      <w:r>
        <w:rPr>
          <w:rFonts w:eastAsia="SimSun"/>
          <w:szCs w:val="22"/>
          <w:lang w:val="en-US" w:eastAsia="fr-BE"/>
        </w:rPr>
        <w:t xml:space="preserve">coumarin-type </w:t>
      </w:r>
      <w:r w:rsidRPr="00D127DA">
        <w:rPr>
          <w:rFonts w:eastAsia="SimSun"/>
          <w:szCs w:val="22"/>
          <w:lang w:val="en-US" w:eastAsia="fr-BE"/>
        </w:rPr>
        <w:t>oral anticoagulants</w:t>
      </w:r>
      <w:r>
        <w:rPr>
          <w:rFonts w:eastAsia="SimSun"/>
          <w:szCs w:val="22"/>
          <w:lang w:val="en-US" w:eastAsia="fr-BE"/>
        </w:rPr>
        <w:t xml:space="preserve"> </w:t>
      </w:r>
      <w:r w:rsidRPr="00823515">
        <w:rPr>
          <w:rFonts w:eastAsia="SimSun"/>
          <w:szCs w:val="22"/>
          <w:lang w:val="en-US" w:eastAsia="fr-BE"/>
        </w:rPr>
        <w:t>(</w:t>
      </w:r>
      <w:proofErr w:type="spellStart"/>
      <w:r w:rsidRPr="00394955">
        <w:rPr>
          <w:szCs w:val="22"/>
        </w:rPr>
        <w:t>warfarine</w:t>
      </w:r>
      <w:proofErr w:type="spellEnd"/>
      <w:r w:rsidRPr="00394955">
        <w:rPr>
          <w:szCs w:val="22"/>
        </w:rPr>
        <w:t xml:space="preserve">, </w:t>
      </w:r>
      <w:proofErr w:type="spellStart"/>
      <w:r w:rsidRPr="00394955">
        <w:rPr>
          <w:szCs w:val="22"/>
        </w:rPr>
        <w:t>acenocoumarol</w:t>
      </w:r>
      <w:proofErr w:type="spellEnd"/>
      <w:r w:rsidRPr="00394955">
        <w:rPr>
          <w:szCs w:val="22"/>
        </w:rPr>
        <w:t xml:space="preserve">, dicoumarol, </w:t>
      </w:r>
      <w:proofErr w:type="spellStart"/>
      <w:r w:rsidRPr="00394955">
        <w:rPr>
          <w:szCs w:val="22"/>
        </w:rPr>
        <w:t>anisindione</w:t>
      </w:r>
      <w:proofErr w:type="spellEnd"/>
      <w:r w:rsidRPr="00394955">
        <w:rPr>
          <w:szCs w:val="22"/>
        </w:rPr>
        <w:t xml:space="preserve">, phenindione, </w:t>
      </w:r>
      <w:proofErr w:type="spellStart"/>
      <w:r w:rsidRPr="00394955">
        <w:rPr>
          <w:szCs w:val="22"/>
        </w:rPr>
        <w:t>phenprocoumon</w:t>
      </w:r>
      <w:proofErr w:type="spellEnd"/>
      <w:r w:rsidRPr="00394955">
        <w:rPr>
          <w:szCs w:val="22"/>
        </w:rPr>
        <w:t>)</w:t>
      </w:r>
      <w:r w:rsidRPr="00823515">
        <w:rPr>
          <w:rFonts w:eastAsia="SimSun"/>
          <w:szCs w:val="22"/>
          <w:lang w:val="en-US" w:eastAsia="fr-BE"/>
        </w:rPr>
        <w:t>.</w:t>
      </w:r>
      <w:r w:rsidRPr="00D127DA">
        <w:rPr>
          <w:rFonts w:eastAsia="SimSun"/>
          <w:szCs w:val="22"/>
          <w:lang w:val="en-US" w:eastAsia="fr-BE"/>
        </w:rPr>
        <w:t xml:space="preserve"> Prothrombin time</w:t>
      </w:r>
      <w:r>
        <w:rPr>
          <w:rFonts w:eastAsia="SimSun"/>
          <w:szCs w:val="22"/>
          <w:lang w:val="en-US" w:eastAsia="fr-BE"/>
        </w:rPr>
        <w:t>s</w:t>
      </w:r>
      <w:r w:rsidRPr="00D127DA">
        <w:rPr>
          <w:rFonts w:eastAsia="SimSun"/>
          <w:szCs w:val="22"/>
          <w:lang w:val="en-US" w:eastAsia="fr-BE"/>
        </w:rPr>
        <w:t xml:space="preserve"> should be closely monitored and adjustments to the dose of the anticoagulants should be </w:t>
      </w:r>
      <w:r>
        <w:rPr>
          <w:rFonts w:eastAsia="SimSun"/>
          <w:szCs w:val="22"/>
          <w:lang w:val="en-US" w:eastAsia="fr-BE"/>
        </w:rPr>
        <w:t>adjusted</w:t>
      </w:r>
      <w:r w:rsidRPr="00D127DA">
        <w:rPr>
          <w:rFonts w:eastAsia="SimSun"/>
          <w:szCs w:val="22"/>
          <w:lang w:val="en-US" w:eastAsia="fr-BE"/>
        </w:rPr>
        <w:t xml:space="preserve"> as necessary.</w:t>
      </w:r>
    </w:p>
    <w:p w14:paraId="74AF964A" w14:textId="77777777" w:rsidR="00812D16" w:rsidRDefault="00812D16" w:rsidP="006B4557">
      <w:pPr>
        <w:rPr>
          <w:szCs w:val="22"/>
        </w:rPr>
      </w:pPr>
    </w:p>
    <w:p w14:paraId="2DE1153E" w14:textId="2111F1CE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lastRenderedPageBreak/>
        <w:t>4.6</w:t>
      </w:r>
      <w:r w:rsidRPr="00F174D7">
        <w:rPr>
          <w:b/>
          <w:noProof/>
          <w:szCs w:val="22"/>
        </w:rPr>
        <w:tab/>
      </w:r>
      <w:r w:rsidR="001A61C6">
        <w:rPr>
          <w:b/>
          <w:noProof/>
          <w:szCs w:val="22"/>
        </w:rPr>
        <w:t xml:space="preserve">Fertility, </w:t>
      </w:r>
      <w:r w:rsidR="001A61C6">
        <w:rPr>
          <w:b/>
          <w:bCs/>
          <w:szCs w:val="22"/>
        </w:rPr>
        <w:t>p</w:t>
      </w:r>
      <w:r w:rsidRPr="00F174D7">
        <w:rPr>
          <w:b/>
          <w:noProof/>
          <w:szCs w:val="22"/>
        </w:rPr>
        <w:t xml:space="preserve">regnancy and </w:t>
      </w:r>
      <w:r w:rsidR="001A61C6">
        <w:rPr>
          <w:b/>
          <w:noProof/>
          <w:szCs w:val="22"/>
        </w:rPr>
        <w:t>breastfeeding</w:t>
      </w:r>
    </w:p>
    <w:p w14:paraId="2EF8C00B" w14:textId="77777777" w:rsidR="00812D16" w:rsidRPr="00F174D7" w:rsidRDefault="00812D16" w:rsidP="006B4557">
      <w:pPr>
        <w:rPr>
          <w:noProof/>
          <w:szCs w:val="22"/>
        </w:rPr>
      </w:pPr>
    </w:p>
    <w:p w14:paraId="17EC3BA4" w14:textId="7AA9C30B" w:rsidR="008D4CB9" w:rsidRPr="00D127DA" w:rsidRDefault="008D11D1" w:rsidP="008D4CB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b/>
          <w:bCs/>
          <w:szCs w:val="22"/>
          <w:lang w:val="en-US" w:eastAsia="fr-BE"/>
        </w:rPr>
      </w:pPr>
      <w:r>
        <w:rPr>
          <w:rFonts w:eastAsia="SimSun"/>
          <w:b/>
          <w:bCs/>
          <w:szCs w:val="22"/>
          <w:lang w:val="en-US" w:eastAsia="fr-BE"/>
        </w:rPr>
        <w:t>P</w:t>
      </w:r>
      <w:r w:rsidR="008D4CB9" w:rsidRPr="00D127DA">
        <w:rPr>
          <w:rFonts w:eastAsia="SimSun"/>
          <w:b/>
          <w:bCs/>
          <w:szCs w:val="22"/>
          <w:lang w:val="en-US" w:eastAsia="fr-BE"/>
        </w:rPr>
        <w:t>regnancy:</w:t>
      </w:r>
    </w:p>
    <w:p w14:paraId="70F5952F" w14:textId="77777777" w:rsidR="009E39F6" w:rsidRDefault="008D11D1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Data on the use of tinidazole in pregnant women are limited</w:t>
      </w:r>
      <w:r w:rsidR="009E39F6">
        <w:rPr>
          <w:rFonts w:eastAsia="SimSun"/>
          <w:szCs w:val="22"/>
          <w:lang w:val="en-US" w:eastAsia="fr-BE"/>
        </w:rPr>
        <w:t>.</w:t>
      </w:r>
    </w:p>
    <w:p w14:paraId="7A335CD3" w14:textId="77777777" w:rsidR="009E39F6" w:rsidRDefault="009E39F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3FA2F913" w14:textId="77777777" w:rsidR="009E39F6" w:rsidRDefault="009E39F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Animal studies have shown reproductive toxicity</w:t>
      </w:r>
      <w:r w:rsidR="008D11D1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 xml:space="preserve">(see section 5.3). </w:t>
      </w:r>
    </w:p>
    <w:p w14:paraId="56F45EAD" w14:textId="5DAC8537" w:rsidR="009E39F6" w:rsidRDefault="009E39F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394955">
        <w:rPr>
          <w:rFonts w:eastAsia="SimSun"/>
          <w:szCs w:val="22"/>
          <w:lang w:val="en-US" w:eastAsia="fr-BE"/>
        </w:rPr>
        <w:t>Tinidazole crosses the placental barrier. Since the</w:t>
      </w:r>
      <w:r>
        <w:rPr>
          <w:rFonts w:eastAsia="SimSun"/>
          <w:szCs w:val="22"/>
          <w:lang w:val="en-US" w:eastAsia="fr-BE"/>
        </w:rPr>
        <w:t xml:space="preserve"> </w:t>
      </w:r>
      <w:r w:rsidRPr="00394955">
        <w:rPr>
          <w:rFonts w:eastAsia="SimSun"/>
          <w:szCs w:val="22"/>
          <w:lang w:val="en-US" w:eastAsia="fr-BE"/>
        </w:rPr>
        <w:t>effects of compounds of this class on fetal development are unknown, tinidazole is contraindicated in the first trimester</w:t>
      </w:r>
      <w:r>
        <w:rPr>
          <w:rFonts w:eastAsia="SimSun"/>
          <w:szCs w:val="22"/>
          <w:lang w:val="en-US" w:eastAsia="fr-BE"/>
        </w:rPr>
        <w:t xml:space="preserve"> </w:t>
      </w:r>
      <w:r w:rsidRPr="00394955">
        <w:rPr>
          <w:rFonts w:eastAsia="SimSun"/>
          <w:szCs w:val="22"/>
          <w:lang w:val="en-US" w:eastAsia="fr-BE"/>
        </w:rPr>
        <w:t>of pregnancy.</w:t>
      </w:r>
    </w:p>
    <w:p w14:paraId="03CD3FF7" w14:textId="77777777" w:rsidR="009E39F6" w:rsidRDefault="009E39F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77F34DBE" w14:textId="3E7F7183" w:rsidR="009E39F6" w:rsidRDefault="009E39F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 xml:space="preserve">There is no evidence that tinidazole is harmful during the latter stages </w:t>
      </w:r>
      <w:r w:rsidR="001A61C6">
        <w:rPr>
          <w:rFonts w:eastAsia="SimSun"/>
          <w:szCs w:val="22"/>
          <w:lang w:val="en-US" w:eastAsia="fr-BE"/>
        </w:rPr>
        <w:t>of pregnancy, but it should be</w:t>
      </w:r>
      <w:r>
        <w:rPr>
          <w:rFonts w:eastAsia="SimSun"/>
          <w:szCs w:val="22"/>
          <w:lang w:val="en-US" w:eastAsia="fr-BE"/>
        </w:rPr>
        <w:t xml:space="preserve"> used in the second and the third trimesters only in cases where it is absolutely necessary</w:t>
      </w:r>
      <w:r w:rsidR="001A61C6">
        <w:rPr>
          <w:rFonts w:eastAsia="SimSun"/>
          <w:szCs w:val="22"/>
          <w:lang w:val="en-US" w:eastAsia="fr-BE"/>
        </w:rPr>
        <w:t>, when the benefits of the therapy outweigh possible risks in both mother and fetus (see section 5.3).</w:t>
      </w:r>
    </w:p>
    <w:p w14:paraId="4C5A1F6D" w14:textId="28894895" w:rsidR="008D4CB9" w:rsidRPr="00D127DA" w:rsidRDefault="001A61C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Teratogenic potential of tinidazole was assessed on the basis of a large population-based data set. Of 22.843 cases with congenital anomalies, only 10 (0,04%) had a mother treated with tinidazole during pregnancy, and of 38.151 control cases (without anomalies), 16 (0,04%) had a mother treated with tinidazole during pregnancy. The majority of the mothers had been treated mainly in the second semester.</w:t>
      </w:r>
    </w:p>
    <w:p w14:paraId="5E14D172" w14:textId="77777777" w:rsidR="001A61C6" w:rsidRDefault="001A61C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b/>
          <w:bCs/>
          <w:szCs w:val="22"/>
          <w:lang w:val="en-US" w:eastAsia="fr-BE"/>
        </w:rPr>
      </w:pPr>
    </w:p>
    <w:p w14:paraId="387469BF" w14:textId="35B244F6" w:rsidR="008D4CB9" w:rsidRPr="00D127DA" w:rsidRDefault="001A61C6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b/>
          <w:bCs/>
          <w:szCs w:val="22"/>
          <w:lang w:val="en-US" w:eastAsia="fr-BE"/>
        </w:rPr>
      </w:pPr>
      <w:r>
        <w:rPr>
          <w:rFonts w:eastAsia="SimSun"/>
          <w:b/>
          <w:bCs/>
          <w:szCs w:val="22"/>
          <w:lang w:val="en-US" w:eastAsia="fr-BE"/>
        </w:rPr>
        <w:t>Breastfeeding</w:t>
      </w:r>
      <w:r w:rsidR="008D4CB9" w:rsidRPr="00D127DA">
        <w:rPr>
          <w:rFonts w:eastAsia="SimSun"/>
          <w:b/>
          <w:bCs/>
          <w:szCs w:val="22"/>
          <w:lang w:val="en-US" w:eastAsia="fr-BE"/>
        </w:rPr>
        <w:t>:</w:t>
      </w:r>
    </w:p>
    <w:p w14:paraId="1B81C156" w14:textId="77777777" w:rsidR="00F50B22" w:rsidRDefault="008D4CB9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D127DA">
        <w:rPr>
          <w:rFonts w:eastAsia="SimSun"/>
          <w:szCs w:val="22"/>
          <w:lang w:val="en-US" w:eastAsia="fr-BE"/>
        </w:rPr>
        <w:t>Tinidazole is excreted in breast milk</w:t>
      </w:r>
      <w:r w:rsidR="001A61C6">
        <w:rPr>
          <w:rFonts w:eastAsia="SimSun"/>
          <w:szCs w:val="22"/>
          <w:lang w:val="en-US" w:eastAsia="fr-BE"/>
        </w:rPr>
        <w:t xml:space="preserve"> in an amount that may have an effect on nursing infants</w:t>
      </w:r>
      <w:r w:rsidRPr="00D127DA">
        <w:rPr>
          <w:rFonts w:eastAsia="SimSun"/>
          <w:szCs w:val="22"/>
          <w:lang w:val="en-US" w:eastAsia="fr-BE"/>
        </w:rPr>
        <w:t xml:space="preserve">. </w:t>
      </w:r>
    </w:p>
    <w:p w14:paraId="4A58EBC1" w14:textId="2D09CF5A" w:rsidR="00F50B22" w:rsidRDefault="00F50B22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6509935C" w14:textId="5AA6097F" w:rsidR="008D4CB9" w:rsidRPr="00D127DA" w:rsidRDefault="00F50B22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 xml:space="preserve">Tinidazole is contraindicated during breastfeeding (see section 4.3). </w:t>
      </w:r>
      <w:r w:rsidR="008D4CB9" w:rsidRPr="00D127DA">
        <w:rPr>
          <w:rFonts w:eastAsia="SimSun"/>
          <w:szCs w:val="22"/>
          <w:lang w:val="en-US" w:eastAsia="fr-BE"/>
        </w:rPr>
        <w:t xml:space="preserve">Tinidazole may continue to appear in breast milk for more than 72 hours after administration. Women should not nurse until at least 3 days after having discontinued taking </w:t>
      </w:r>
      <w:r w:rsidR="00DC2BC3">
        <w:rPr>
          <w:rFonts w:eastAsia="SimSun"/>
          <w:szCs w:val="22"/>
          <w:lang w:val="en-US" w:eastAsia="fr-BE"/>
        </w:rPr>
        <w:t>tinidazole</w:t>
      </w:r>
      <w:r w:rsidR="008D4CB9" w:rsidRPr="00D127DA">
        <w:rPr>
          <w:rFonts w:eastAsia="SimSun"/>
          <w:szCs w:val="22"/>
          <w:lang w:val="en-US" w:eastAsia="fr-BE"/>
        </w:rPr>
        <w:t>.</w:t>
      </w:r>
      <w:r>
        <w:rPr>
          <w:rFonts w:eastAsia="SimSun"/>
          <w:szCs w:val="22"/>
          <w:lang w:val="en-US" w:eastAsia="fr-BE"/>
        </w:rPr>
        <w:t xml:space="preserve"> A decision should be made whether to discontinue breastfeeding or to discontinue/ avoid treatment with tinidazole; depending of the benefit of breastfeeding versus the benefit of treating the mother.</w:t>
      </w:r>
    </w:p>
    <w:p w14:paraId="3B671B7F" w14:textId="77777777" w:rsidR="008D4CB9" w:rsidRPr="00F174D7" w:rsidRDefault="008D4CB9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7D96A043" w14:textId="77E2580A" w:rsidR="008D4CB9" w:rsidRPr="00394955" w:rsidRDefault="00F50B22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b/>
          <w:szCs w:val="22"/>
          <w:lang w:val="en-US" w:eastAsia="fr-BE"/>
        </w:rPr>
      </w:pPr>
      <w:r w:rsidRPr="00394955">
        <w:rPr>
          <w:rFonts w:eastAsia="SimSun"/>
          <w:b/>
          <w:szCs w:val="22"/>
          <w:lang w:val="en-US" w:eastAsia="fr-BE"/>
        </w:rPr>
        <w:t>Fertility:</w:t>
      </w:r>
    </w:p>
    <w:p w14:paraId="41587F7A" w14:textId="2AF1D32F" w:rsidR="00F50B22" w:rsidRDefault="00F50B22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</w:p>
    <w:p w14:paraId="1A3F7F67" w14:textId="6718774E" w:rsidR="00F50B22" w:rsidRDefault="00F50B22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There are no human data available on the effect of tinidazole on fertility</w:t>
      </w:r>
      <w:r w:rsidR="007E0458">
        <w:rPr>
          <w:rFonts w:eastAsia="SimSun"/>
          <w:szCs w:val="22"/>
          <w:lang w:val="en-US" w:eastAsia="fr-BE"/>
        </w:rPr>
        <w:t>. Animal studies have shown that tinidazole has adverse effects on male and female fertility (see section 5.3).</w:t>
      </w:r>
    </w:p>
    <w:p w14:paraId="7752C36B" w14:textId="77777777" w:rsidR="00F50B22" w:rsidRPr="00F174D7" w:rsidRDefault="00F50B22" w:rsidP="008D4CB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168F3556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4.7</w:t>
      </w:r>
      <w:r w:rsidRPr="00F174D7">
        <w:rPr>
          <w:b/>
          <w:noProof/>
          <w:szCs w:val="22"/>
        </w:rPr>
        <w:tab/>
        <w:t>Effects on ability to drive and use machines</w:t>
      </w:r>
    </w:p>
    <w:p w14:paraId="0EFDD5A0" w14:textId="77777777" w:rsidR="00812D16" w:rsidRPr="00F174D7" w:rsidRDefault="00812D16" w:rsidP="006B4557">
      <w:pPr>
        <w:rPr>
          <w:noProof/>
          <w:szCs w:val="22"/>
        </w:rPr>
      </w:pPr>
    </w:p>
    <w:p w14:paraId="3AF90323" w14:textId="77777777" w:rsidR="008D4CB9" w:rsidRDefault="00DC2BC3" w:rsidP="006B4557">
      <w:pPr>
        <w:rPr>
          <w:noProof/>
          <w:szCs w:val="22"/>
        </w:rPr>
      </w:pPr>
      <w:r>
        <w:rPr>
          <w:noProof/>
          <w:szCs w:val="22"/>
        </w:rPr>
        <w:t>The effect of tinidazole on the ability to drive or operate heavy machineny has not been studied.</w:t>
      </w:r>
    </w:p>
    <w:p w14:paraId="7DFA2F67" w14:textId="5BEA3F69" w:rsidR="00B04ECC" w:rsidRPr="00F174D7" w:rsidRDefault="007E0458" w:rsidP="006B4557">
      <w:pPr>
        <w:rPr>
          <w:noProof/>
          <w:szCs w:val="22"/>
        </w:rPr>
      </w:pPr>
      <w:r>
        <w:rPr>
          <w:noProof/>
          <w:szCs w:val="22"/>
        </w:rPr>
        <w:t>However, there is no evidence that tinidazole can affect these faculties.</w:t>
      </w:r>
    </w:p>
    <w:p w14:paraId="01F96C85" w14:textId="77777777" w:rsidR="00812D16" w:rsidRDefault="00812D16" w:rsidP="006B4557">
      <w:pPr>
        <w:rPr>
          <w:noProof/>
          <w:szCs w:val="22"/>
        </w:rPr>
      </w:pPr>
    </w:p>
    <w:p w14:paraId="14A878F9" w14:textId="77777777" w:rsidR="00812D16" w:rsidRPr="00F174D7" w:rsidRDefault="0035374D" w:rsidP="006B4557">
      <w:pPr>
        <w:spacing w:line="240" w:lineRule="auto"/>
        <w:outlineLvl w:val="0"/>
        <w:rPr>
          <w:b/>
          <w:noProof/>
          <w:szCs w:val="22"/>
        </w:rPr>
      </w:pPr>
      <w:r w:rsidRPr="00D45488">
        <w:rPr>
          <w:b/>
          <w:noProof/>
          <w:szCs w:val="22"/>
        </w:rPr>
        <w:t>4.8</w:t>
      </w:r>
      <w:r w:rsidRPr="00D45488">
        <w:rPr>
          <w:b/>
          <w:noProof/>
          <w:szCs w:val="22"/>
        </w:rPr>
        <w:tab/>
        <w:t>Undesirable effects</w:t>
      </w:r>
    </w:p>
    <w:p w14:paraId="1E35ABE5" w14:textId="77777777" w:rsidR="00812D16" w:rsidRPr="00F174D7" w:rsidRDefault="00812D16" w:rsidP="006B4557">
      <w:pPr>
        <w:autoSpaceDE w:val="0"/>
        <w:autoSpaceDN w:val="0"/>
        <w:adjustRightInd w:val="0"/>
        <w:jc w:val="both"/>
        <w:rPr>
          <w:noProof/>
          <w:szCs w:val="22"/>
        </w:rPr>
      </w:pPr>
    </w:p>
    <w:p w14:paraId="5B2E6B17" w14:textId="77777777" w:rsidR="007E0458" w:rsidRPr="00394955" w:rsidRDefault="007E0458" w:rsidP="00394955">
      <w:pPr>
        <w:jc w:val="both"/>
        <w:rPr>
          <w:noProof/>
          <w:szCs w:val="22"/>
        </w:rPr>
      </w:pPr>
      <w:r w:rsidRPr="00394955">
        <w:rPr>
          <w:noProof/>
          <w:szCs w:val="22"/>
        </w:rPr>
        <w:t>Reported side effects have generally been infrequent, mild and self-limiting.</w:t>
      </w:r>
    </w:p>
    <w:p w14:paraId="1ECF2C8C" w14:textId="4322130B" w:rsidR="007E0458" w:rsidRPr="00394955" w:rsidRDefault="007E0458" w:rsidP="00394955">
      <w:pPr>
        <w:jc w:val="both"/>
        <w:rPr>
          <w:noProof/>
          <w:szCs w:val="22"/>
        </w:rPr>
      </w:pPr>
      <w:r>
        <w:rPr>
          <w:noProof/>
          <w:szCs w:val="22"/>
        </w:rPr>
        <w:t xml:space="preserve">The table below lists </w:t>
      </w:r>
      <w:r w:rsidRPr="00394955">
        <w:rPr>
          <w:noProof/>
          <w:szCs w:val="22"/>
        </w:rPr>
        <w:t>undesirable effects</w:t>
      </w:r>
      <w:r>
        <w:rPr>
          <w:noProof/>
          <w:szCs w:val="22"/>
        </w:rPr>
        <w:t xml:space="preserve"> indentified in clinical trials and post-maketing surveillance according </w:t>
      </w:r>
      <w:r w:rsidRPr="00394955">
        <w:rPr>
          <w:noProof/>
          <w:szCs w:val="22"/>
        </w:rPr>
        <w:t>to MedDRA system organ class classification and frequency.</w:t>
      </w:r>
    </w:p>
    <w:p w14:paraId="1105947D" w14:textId="65ACCC38" w:rsidR="007E0458" w:rsidRPr="00394955" w:rsidRDefault="007E0458" w:rsidP="00394955">
      <w:pPr>
        <w:jc w:val="both"/>
        <w:rPr>
          <w:noProof/>
          <w:szCs w:val="22"/>
        </w:rPr>
      </w:pPr>
      <w:r w:rsidRPr="00394955">
        <w:rPr>
          <w:noProof/>
          <w:szCs w:val="22"/>
        </w:rPr>
        <w:t>Within e</w:t>
      </w:r>
      <w:r w:rsidR="00087C3E" w:rsidRPr="00087C3E">
        <w:rPr>
          <w:noProof/>
          <w:szCs w:val="22"/>
        </w:rPr>
        <w:t xml:space="preserve">ach frequency category, the </w:t>
      </w:r>
      <w:r w:rsidR="00087C3E">
        <w:rPr>
          <w:noProof/>
          <w:szCs w:val="22"/>
        </w:rPr>
        <w:t>adverse drug reactions</w:t>
      </w:r>
      <w:r w:rsidRPr="00394955">
        <w:rPr>
          <w:noProof/>
          <w:szCs w:val="22"/>
        </w:rPr>
        <w:t xml:space="preserve"> are presented in the order of clinical importance. Frequency categories are</w:t>
      </w:r>
      <w:r w:rsidR="00087C3E">
        <w:rPr>
          <w:noProof/>
          <w:szCs w:val="22"/>
        </w:rPr>
        <w:t xml:space="preserve"> </w:t>
      </w:r>
      <w:r w:rsidRPr="00394955">
        <w:rPr>
          <w:noProof/>
          <w:szCs w:val="22"/>
        </w:rPr>
        <w:t>expressed as: very common (≥1/10); common (≥1/100 to &lt;1/10); uncommon (≥1/1,000 to &lt;1/100); rare (≥1/10,000 to</w:t>
      </w:r>
      <w:r w:rsidR="00087C3E">
        <w:rPr>
          <w:noProof/>
          <w:szCs w:val="22"/>
        </w:rPr>
        <w:t xml:space="preserve"> </w:t>
      </w:r>
      <w:r w:rsidRPr="00394955">
        <w:rPr>
          <w:noProof/>
          <w:szCs w:val="22"/>
        </w:rPr>
        <w:t>&lt;1/1,000); very rare (&lt;1/10,000); not known (the frequency cannot be estimated from the available data).</w:t>
      </w:r>
    </w:p>
    <w:p w14:paraId="799D2B20" w14:textId="77777777" w:rsidR="00087C3E" w:rsidRDefault="00087C3E" w:rsidP="002A434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i/>
          <w:szCs w:val="22"/>
          <w:lang w:val="en-US" w:eastAsia="fr-B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105"/>
        <w:gridCol w:w="1596"/>
        <w:gridCol w:w="1681"/>
        <w:gridCol w:w="1984"/>
        <w:gridCol w:w="2552"/>
      </w:tblGrid>
      <w:tr w:rsidR="006D4823" w:rsidRPr="00CC0F48" w14:paraId="63D195CF" w14:textId="77777777" w:rsidTr="00847EF1">
        <w:tc>
          <w:tcPr>
            <w:tcW w:w="2105" w:type="dxa"/>
          </w:tcPr>
          <w:p w14:paraId="52529800" w14:textId="58738451" w:rsidR="00087C3E" w:rsidRPr="00CC0F48" w:rsidRDefault="00087C3E" w:rsidP="00847EF1">
            <w:pPr>
              <w:suppressAutoHyphens/>
              <w:rPr>
                <w:b/>
                <w:noProof/>
                <w:szCs w:val="22"/>
              </w:rPr>
            </w:pPr>
            <w:r w:rsidRPr="00CC0F48">
              <w:rPr>
                <w:b/>
                <w:noProof/>
                <w:szCs w:val="22"/>
              </w:rPr>
              <w:t>System Organ Class</w:t>
            </w:r>
          </w:p>
        </w:tc>
        <w:tc>
          <w:tcPr>
            <w:tcW w:w="1596" w:type="dxa"/>
          </w:tcPr>
          <w:p w14:paraId="459E2060" w14:textId="2AFF3D4D" w:rsidR="00087C3E" w:rsidRPr="00CC0F48" w:rsidRDefault="00087C3E" w:rsidP="00847EF1">
            <w:pPr>
              <w:suppressAutoHyphens/>
              <w:jc w:val="center"/>
              <w:rPr>
                <w:b/>
                <w:noProof/>
                <w:szCs w:val="22"/>
              </w:rPr>
            </w:pPr>
            <w:r w:rsidRPr="00CC0F48">
              <w:rPr>
                <w:b/>
                <w:noProof/>
                <w:szCs w:val="22"/>
              </w:rPr>
              <w:t>Common</w:t>
            </w:r>
            <w:r w:rsidRPr="00CC0F48">
              <w:rPr>
                <w:b/>
                <w:noProof/>
                <w:szCs w:val="22"/>
              </w:rPr>
              <w:br/>
              <w:t xml:space="preserve">(≥ 1/100, </w:t>
            </w:r>
            <w:r w:rsidRPr="00CC0F48">
              <w:rPr>
                <w:b/>
                <w:noProof/>
                <w:szCs w:val="22"/>
              </w:rPr>
              <w:br/>
              <w:t>˂ 1/10)</w:t>
            </w:r>
          </w:p>
        </w:tc>
        <w:tc>
          <w:tcPr>
            <w:tcW w:w="1681" w:type="dxa"/>
          </w:tcPr>
          <w:p w14:paraId="5E4CDDB0" w14:textId="36866749" w:rsidR="00087C3E" w:rsidRPr="00CC0F48" w:rsidRDefault="00087C3E" w:rsidP="00847EF1">
            <w:pPr>
              <w:suppressAutoHyphens/>
              <w:jc w:val="center"/>
              <w:rPr>
                <w:b/>
                <w:noProof/>
                <w:szCs w:val="22"/>
              </w:rPr>
            </w:pPr>
            <w:r w:rsidRPr="00CC0F48">
              <w:rPr>
                <w:b/>
                <w:noProof/>
                <w:szCs w:val="22"/>
              </w:rPr>
              <w:t>uncommon (≥ 1/1 000 ;</w:t>
            </w:r>
            <w:r w:rsidRPr="00CC0F48">
              <w:rPr>
                <w:b/>
                <w:noProof/>
                <w:szCs w:val="22"/>
              </w:rPr>
              <w:br/>
              <w:t xml:space="preserve"> ˂ 1/100)</w:t>
            </w:r>
          </w:p>
        </w:tc>
        <w:tc>
          <w:tcPr>
            <w:tcW w:w="1984" w:type="dxa"/>
          </w:tcPr>
          <w:p w14:paraId="45E18879" w14:textId="77777777" w:rsidR="00087C3E" w:rsidRPr="00CC0F48" w:rsidRDefault="00087C3E" w:rsidP="00847EF1">
            <w:pPr>
              <w:suppressAutoHyphens/>
              <w:jc w:val="center"/>
              <w:rPr>
                <w:b/>
                <w:noProof/>
                <w:szCs w:val="22"/>
              </w:rPr>
            </w:pPr>
            <w:r w:rsidRPr="00CC0F48">
              <w:rPr>
                <w:b/>
                <w:noProof/>
                <w:szCs w:val="22"/>
              </w:rPr>
              <w:t>Rare (≥ 1/10 000 ; ˂ 1/1 000)</w:t>
            </w:r>
          </w:p>
        </w:tc>
        <w:tc>
          <w:tcPr>
            <w:tcW w:w="2552" w:type="dxa"/>
          </w:tcPr>
          <w:p w14:paraId="783D5422" w14:textId="461E856C" w:rsidR="00087C3E" w:rsidRPr="00CC0F48" w:rsidRDefault="00087C3E" w:rsidP="00847EF1">
            <w:pPr>
              <w:suppressAutoHyphens/>
              <w:jc w:val="center"/>
              <w:rPr>
                <w:b/>
                <w:noProof/>
                <w:szCs w:val="22"/>
              </w:rPr>
            </w:pPr>
            <w:r w:rsidRPr="00CC0F48">
              <w:rPr>
                <w:b/>
                <w:noProof/>
                <w:szCs w:val="22"/>
              </w:rPr>
              <w:t>N</w:t>
            </w:r>
            <w:r w:rsidRPr="00394955">
              <w:rPr>
                <w:b/>
                <w:noProof/>
                <w:szCs w:val="22"/>
              </w:rPr>
              <w:t>ot known (the frequency cannot be estimated from the available data)</w:t>
            </w:r>
          </w:p>
        </w:tc>
      </w:tr>
      <w:tr w:rsidR="006D4823" w:rsidRPr="00CC0F48" w14:paraId="3B5F7E1F" w14:textId="77777777" w:rsidTr="00847EF1">
        <w:tc>
          <w:tcPr>
            <w:tcW w:w="2105" w:type="dxa"/>
          </w:tcPr>
          <w:p w14:paraId="7A6D10F8" w14:textId="48FA49ED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Blood and the lymphatic system disorders</w:t>
            </w:r>
          </w:p>
        </w:tc>
        <w:tc>
          <w:tcPr>
            <w:tcW w:w="1596" w:type="dxa"/>
          </w:tcPr>
          <w:p w14:paraId="4530F414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681" w:type="dxa"/>
          </w:tcPr>
          <w:p w14:paraId="02107205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4BF2D99F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3E937E42" w14:textId="2D1943BD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Leukopenia</w:t>
            </w:r>
          </w:p>
        </w:tc>
      </w:tr>
      <w:tr w:rsidR="006D4823" w:rsidRPr="00CC0F48" w14:paraId="10ACABEC" w14:textId="77777777" w:rsidTr="00847EF1">
        <w:tc>
          <w:tcPr>
            <w:tcW w:w="2105" w:type="dxa"/>
          </w:tcPr>
          <w:p w14:paraId="5976446D" w14:textId="247FD59E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  <w:lang w:val="fr-FR"/>
              </w:rPr>
              <w:t>Immune system disorders</w:t>
            </w:r>
          </w:p>
        </w:tc>
        <w:tc>
          <w:tcPr>
            <w:tcW w:w="1596" w:type="dxa"/>
          </w:tcPr>
          <w:p w14:paraId="292BE948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681" w:type="dxa"/>
          </w:tcPr>
          <w:p w14:paraId="14A14746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0A381349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24489C9B" w14:textId="01D04CE9" w:rsidR="00087C3E" w:rsidRPr="00394955" w:rsidRDefault="00087C3E" w:rsidP="00087C3E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Anaphylactic shock, drug hypersensivity</w:t>
            </w:r>
          </w:p>
        </w:tc>
      </w:tr>
      <w:tr w:rsidR="006D4823" w:rsidRPr="00CC0F48" w14:paraId="74AC0240" w14:textId="77777777" w:rsidTr="00847EF1">
        <w:tc>
          <w:tcPr>
            <w:tcW w:w="2105" w:type="dxa"/>
          </w:tcPr>
          <w:p w14:paraId="4B4C2665" w14:textId="3C72E5D3" w:rsidR="00087C3E" w:rsidRPr="00394955" w:rsidRDefault="00087C3E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  <w:r w:rsidRPr="00394955">
              <w:rPr>
                <w:bCs/>
                <w:noProof/>
                <w:szCs w:val="22"/>
              </w:rPr>
              <w:lastRenderedPageBreak/>
              <w:t>Metabolism and nutrition disorders</w:t>
            </w:r>
          </w:p>
        </w:tc>
        <w:tc>
          <w:tcPr>
            <w:tcW w:w="1596" w:type="dxa"/>
          </w:tcPr>
          <w:p w14:paraId="4369CA3B" w14:textId="4E02F6DB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Decreased apetite</w:t>
            </w:r>
          </w:p>
        </w:tc>
        <w:tc>
          <w:tcPr>
            <w:tcW w:w="1681" w:type="dxa"/>
          </w:tcPr>
          <w:p w14:paraId="4C801598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68C95217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0E5F2F73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</w:tr>
      <w:tr w:rsidR="006D4823" w:rsidRPr="00CC0F48" w14:paraId="577ABF55" w14:textId="77777777" w:rsidTr="00847EF1">
        <w:tc>
          <w:tcPr>
            <w:tcW w:w="2105" w:type="dxa"/>
          </w:tcPr>
          <w:p w14:paraId="05DF494A" w14:textId="48B797B8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Nervous sytem disorders</w:t>
            </w:r>
          </w:p>
        </w:tc>
        <w:tc>
          <w:tcPr>
            <w:tcW w:w="1596" w:type="dxa"/>
          </w:tcPr>
          <w:p w14:paraId="620B4F0F" w14:textId="08EF08E8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Headache</w:t>
            </w:r>
          </w:p>
        </w:tc>
        <w:tc>
          <w:tcPr>
            <w:tcW w:w="1681" w:type="dxa"/>
          </w:tcPr>
          <w:p w14:paraId="66E4CE9C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72D7208B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42086796" w14:textId="4AE5BDA7" w:rsidR="00087C3E" w:rsidRPr="00394955" w:rsidRDefault="006D4823" w:rsidP="006D4823">
            <w:pPr>
              <w:suppressAutoHyphens/>
              <w:rPr>
                <w:bCs/>
                <w:noProof/>
                <w:szCs w:val="22"/>
                <w:lang w:val="fr-FR"/>
              </w:rPr>
            </w:pPr>
            <w:r w:rsidRPr="00394955">
              <w:rPr>
                <w:bCs/>
                <w:noProof/>
                <w:szCs w:val="22"/>
                <w:lang w:val="fr-FR"/>
              </w:rPr>
              <w:t>Convulsions, peripheral neuropathy</w:t>
            </w:r>
            <w:r w:rsidR="00087C3E" w:rsidRPr="00394955">
              <w:rPr>
                <w:bCs/>
                <w:noProof/>
                <w:szCs w:val="22"/>
                <w:lang w:val="fr-FR"/>
              </w:rPr>
              <w:t>, hypo</w:t>
            </w:r>
            <w:r w:rsidRPr="00394955">
              <w:rPr>
                <w:bCs/>
                <w:noProof/>
                <w:szCs w:val="22"/>
                <w:lang w:val="fr-FR"/>
              </w:rPr>
              <w:t>aesthesia</w:t>
            </w:r>
            <w:r w:rsidR="00087C3E" w:rsidRPr="00394955">
              <w:rPr>
                <w:bCs/>
                <w:noProof/>
                <w:szCs w:val="22"/>
                <w:lang w:val="fr-FR"/>
              </w:rPr>
              <w:t>,</w:t>
            </w:r>
            <w:r w:rsidRPr="00394955">
              <w:rPr>
                <w:bCs/>
                <w:noProof/>
                <w:szCs w:val="22"/>
                <w:lang w:val="fr-FR"/>
              </w:rPr>
              <w:t>sensory disturbances, ataxia, dizziness, dysg</w:t>
            </w:r>
            <w:r w:rsidR="00087C3E" w:rsidRPr="00394955">
              <w:rPr>
                <w:bCs/>
                <w:noProof/>
                <w:szCs w:val="22"/>
                <w:lang w:val="fr-FR"/>
              </w:rPr>
              <w:t>eusi</w:t>
            </w:r>
            <w:r w:rsidRPr="00394955">
              <w:rPr>
                <w:bCs/>
                <w:noProof/>
                <w:szCs w:val="22"/>
                <w:lang w:val="fr-FR"/>
              </w:rPr>
              <w:t>a</w:t>
            </w:r>
          </w:p>
        </w:tc>
      </w:tr>
      <w:tr w:rsidR="006D4823" w:rsidRPr="00CC0F48" w14:paraId="156DC7B3" w14:textId="77777777" w:rsidTr="00847EF1">
        <w:tc>
          <w:tcPr>
            <w:tcW w:w="2105" w:type="dxa"/>
          </w:tcPr>
          <w:p w14:paraId="1B0AF18E" w14:textId="7851DFC6" w:rsidR="00087C3E" w:rsidRPr="00394955" w:rsidRDefault="006D4823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  <w:r w:rsidRPr="00394955">
              <w:rPr>
                <w:bCs/>
                <w:noProof/>
                <w:szCs w:val="22"/>
              </w:rPr>
              <w:t>Ear and labyrinth disorders</w:t>
            </w:r>
            <w:r w:rsidR="00087C3E" w:rsidRPr="00394955">
              <w:rPr>
                <w:bCs/>
                <w:noProof/>
                <w:szCs w:val="22"/>
              </w:rPr>
              <w:t xml:space="preserve"> </w:t>
            </w:r>
          </w:p>
        </w:tc>
        <w:tc>
          <w:tcPr>
            <w:tcW w:w="1596" w:type="dxa"/>
          </w:tcPr>
          <w:p w14:paraId="0DE1879E" w14:textId="535C30C5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Vertig</w:t>
            </w:r>
            <w:r w:rsidR="006D4823" w:rsidRPr="00394955">
              <w:rPr>
                <w:bCs/>
                <w:noProof/>
                <w:szCs w:val="22"/>
              </w:rPr>
              <w:t>o</w:t>
            </w:r>
          </w:p>
        </w:tc>
        <w:tc>
          <w:tcPr>
            <w:tcW w:w="1681" w:type="dxa"/>
          </w:tcPr>
          <w:p w14:paraId="201C6043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7BA5B617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1F4782B3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</w:tr>
      <w:tr w:rsidR="006D4823" w:rsidRPr="00CC0F48" w14:paraId="66C3938A" w14:textId="77777777" w:rsidTr="00847EF1">
        <w:tc>
          <w:tcPr>
            <w:tcW w:w="2105" w:type="dxa"/>
          </w:tcPr>
          <w:p w14:paraId="2F92DA1F" w14:textId="599981A5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Vascular disorders</w:t>
            </w:r>
          </w:p>
        </w:tc>
        <w:tc>
          <w:tcPr>
            <w:tcW w:w="1596" w:type="dxa"/>
          </w:tcPr>
          <w:p w14:paraId="2FC6A4AA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681" w:type="dxa"/>
          </w:tcPr>
          <w:p w14:paraId="72A7D995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2C532270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0C5CFF87" w14:textId="383897FB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Flushing</w:t>
            </w:r>
          </w:p>
        </w:tc>
      </w:tr>
      <w:tr w:rsidR="006D4823" w:rsidRPr="00CC0F48" w14:paraId="1C0A653E" w14:textId="77777777" w:rsidTr="00847EF1">
        <w:tc>
          <w:tcPr>
            <w:tcW w:w="2105" w:type="dxa"/>
          </w:tcPr>
          <w:p w14:paraId="7800097E" w14:textId="1CB10559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Gastro-intestinal disorders</w:t>
            </w:r>
          </w:p>
        </w:tc>
        <w:tc>
          <w:tcPr>
            <w:tcW w:w="1596" w:type="dxa"/>
          </w:tcPr>
          <w:p w14:paraId="34792A59" w14:textId="494F320B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Vomiting</w:t>
            </w:r>
            <w:r w:rsidR="00087C3E" w:rsidRPr="00394955">
              <w:rPr>
                <w:bCs/>
                <w:noProof/>
                <w:szCs w:val="22"/>
              </w:rPr>
              <w:t>,</w:t>
            </w:r>
          </w:p>
          <w:p w14:paraId="275A70AD" w14:textId="5E4430EA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d</w:t>
            </w:r>
            <w:r w:rsidR="006D4823" w:rsidRPr="00394955">
              <w:rPr>
                <w:bCs/>
                <w:noProof/>
                <w:szCs w:val="22"/>
              </w:rPr>
              <w:t>iarrhoea, nausea,</w:t>
            </w:r>
            <w:r w:rsidRPr="00394955">
              <w:rPr>
                <w:bCs/>
                <w:noProof/>
                <w:szCs w:val="22"/>
              </w:rPr>
              <w:t xml:space="preserve"> abdominal</w:t>
            </w:r>
            <w:r w:rsidR="006D4823" w:rsidRPr="00394955">
              <w:rPr>
                <w:bCs/>
                <w:noProof/>
                <w:szCs w:val="22"/>
              </w:rPr>
              <w:t xml:space="preserve"> pains</w:t>
            </w:r>
          </w:p>
        </w:tc>
        <w:tc>
          <w:tcPr>
            <w:tcW w:w="1681" w:type="dxa"/>
          </w:tcPr>
          <w:p w14:paraId="53A1563E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6F76679B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2C719268" w14:textId="21BE44E0" w:rsidR="00087C3E" w:rsidRPr="00394955" w:rsidRDefault="006D4823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  <w:r w:rsidRPr="00394955">
              <w:rPr>
                <w:bCs/>
                <w:noProof/>
                <w:szCs w:val="22"/>
                <w:lang w:val="fr-FR"/>
              </w:rPr>
              <w:t>Glossitis, stomatitus</w:t>
            </w:r>
            <w:r w:rsidR="00087C3E" w:rsidRPr="00394955">
              <w:rPr>
                <w:bCs/>
                <w:noProof/>
                <w:szCs w:val="22"/>
                <w:lang w:val="fr-FR"/>
              </w:rPr>
              <w:t xml:space="preserve">, </w:t>
            </w:r>
            <w:r w:rsidRPr="00394955">
              <w:rPr>
                <w:bCs/>
                <w:noProof/>
                <w:szCs w:val="22"/>
                <w:lang w:val="fr-FR"/>
              </w:rPr>
              <w:t>tongue discoloration</w:t>
            </w:r>
          </w:p>
        </w:tc>
      </w:tr>
      <w:tr w:rsidR="006D4823" w:rsidRPr="00CC0F48" w14:paraId="0938EEC4" w14:textId="77777777" w:rsidTr="00847EF1">
        <w:tc>
          <w:tcPr>
            <w:tcW w:w="2105" w:type="dxa"/>
          </w:tcPr>
          <w:p w14:paraId="55DABD9C" w14:textId="70A6CA5A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Skin and subcutaneous tissue disorders</w:t>
            </w:r>
          </w:p>
        </w:tc>
        <w:tc>
          <w:tcPr>
            <w:tcW w:w="1596" w:type="dxa"/>
          </w:tcPr>
          <w:p w14:paraId="43A8EB74" w14:textId="59CB69AE" w:rsidR="00087C3E" w:rsidRPr="00394955" w:rsidRDefault="006D4823" w:rsidP="006D4823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Allergic dermatitis, pruri</w:t>
            </w:r>
            <w:r w:rsidR="00087C3E" w:rsidRPr="00394955">
              <w:rPr>
                <w:bCs/>
                <w:noProof/>
                <w:szCs w:val="22"/>
              </w:rPr>
              <w:t>t</w:t>
            </w:r>
            <w:r w:rsidRPr="00394955">
              <w:rPr>
                <w:bCs/>
                <w:noProof/>
                <w:szCs w:val="22"/>
              </w:rPr>
              <w:t>is</w:t>
            </w:r>
          </w:p>
        </w:tc>
        <w:tc>
          <w:tcPr>
            <w:tcW w:w="1681" w:type="dxa"/>
          </w:tcPr>
          <w:p w14:paraId="425D9C8E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1C4BBE24" w14:textId="6C914E2C" w:rsidR="00087C3E" w:rsidRPr="00394955" w:rsidRDefault="006D4823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Severe skin reactions (such as erythema multiforme, Stevens-Johnson syndrome and epidermal necrolysis)</w:t>
            </w:r>
          </w:p>
        </w:tc>
        <w:tc>
          <w:tcPr>
            <w:tcW w:w="2552" w:type="dxa"/>
          </w:tcPr>
          <w:p w14:paraId="20CA3AA7" w14:textId="1179F2A6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Angiœ</w:t>
            </w:r>
            <w:r w:rsidR="006D4823" w:rsidRPr="00394955">
              <w:rPr>
                <w:bCs/>
                <w:noProof/>
                <w:szCs w:val="22"/>
              </w:rPr>
              <w:t>dema</w:t>
            </w:r>
            <w:r w:rsidRPr="00394955">
              <w:rPr>
                <w:bCs/>
                <w:noProof/>
                <w:szCs w:val="22"/>
              </w:rPr>
              <w:t>, urtica</w:t>
            </w:r>
            <w:r w:rsidR="006D4823" w:rsidRPr="00394955">
              <w:rPr>
                <w:bCs/>
                <w:noProof/>
                <w:szCs w:val="22"/>
              </w:rPr>
              <w:t>ria</w:t>
            </w:r>
          </w:p>
        </w:tc>
      </w:tr>
      <w:tr w:rsidR="006D4823" w:rsidRPr="00CC0F48" w14:paraId="62E8CF37" w14:textId="77777777" w:rsidTr="00847EF1">
        <w:tc>
          <w:tcPr>
            <w:tcW w:w="2105" w:type="dxa"/>
          </w:tcPr>
          <w:p w14:paraId="682C7D5D" w14:textId="134EC3B7" w:rsidR="00087C3E" w:rsidRPr="00394955" w:rsidRDefault="00084B59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  <w:r w:rsidRPr="00394955">
              <w:rPr>
                <w:bCs/>
                <w:noProof/>
                <w:szCs w:val="22"/>
                <w:lang w:val="fr-FR"/>
              </w:rPr>
              <w:t>Renal and urinary disorders</w:t>
            </w:r>
          </w:p>
        </w:tc>
        <w:tc>
          <w:tcPr>
            <w:tcW w:w="1596" w:type="dxa"/>
          </w:tcPr>
          <w:p w14:paraId="0DD2406A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</w:p>
        </w:tc>
        <w:tc>
          <w:tcPr>
            <w:tcW w:w="1681" w:type="dxa"/>
          </w:tcPr>
          <w:p w14:paraId="55FDDE00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</w:p>
        </w:tc>
        <w:tc>
          <w:tcPr>
            <w:tcW w:w="1984" w:type="dxa"/>
          </w:tcPr>
          <w:p w14:paraId="073A8862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</w:p>
        </w:tc>
        <w:tc>
          <w:tcPr>
            <w:tcW w:w="2552" w:type="dxa"/>
          </w:tcPr>
          <w:p w14:paraId="6B8EDE08" w14:textId="206C8D94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Chromaturi</w:t>
            </w:r>
            <w:r w:rsidR="00084B59" w:rsidRPr="00394955">
              <w:rPr>
                <w:bCs/>
                <w:noProof/>
                <w:szCs w:val="22"/>
              </w:rPr>
              <w:t>a</w:t>
            </w:r>
          </w:p>
        </w:tc>
      </w:tr>
      <w:tr w:rsidR="006D4823" w:rsidRPr="00CC0F48" w14:paraId="72362A92" w14:textId="77777777" w:rsidTr="00847EF1">
        <w:tc>
          <w:tcPr>
            <w:tcW w:w="2105" w:type="dxa"/>
          </w:tcPr>
          <w:p w14:paraId="186269FE" w14:textId="2AC6C85D" w:rsidR="00087C3E" w:rsidRPr="00394955" w:rsidRDefault="00084B59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General disorders and administration site conditions</w:t>
            </w:r>
          </w:p>
        </w:tc>
        <w:tc>
          <w:tcPr>
            <w:tcW w:w="1596" w:type="dxa"/>
          </w:tcPr>
          <w:p w14:paraId="1288F62A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681" w:type="dxa"/>
          </w:tcPr>
          <w:p w14:paraId="2B586846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79A5160D" w14:textId="77777777" w:rsidR="00087C3E" w:rsidRPr="00394955" w:rsidRDefault="00087C3E" w:rsidP="00847EF1">
            <w:pPr>
              <w:suppressAutoHyphens/>
              <w:rPr>
                <w:bCs/>
                <w:i/>
                <w:iCs/>
                <w:noProof/>
                <w:szCs w:val="22"/>
              </w:rPr>
            </w:pPr>
          </w:p>
        </w:tc>
        <w:tc>
          <w:tcPr>
            <w:tcW w:w="2552" w:type="dxa"/>
          </w:tcPr>
          <w:p w14:paraId="4D4BDBA5" w14:textId="0B4A641D" w:rsidR="00087C3E" w:rsidRPr="00394955" w:rsidRDefault="00084B59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Pyrexia</w:t>
            </w:r>
            <w:r w:rsidR="00087C3E" w:rsidRPr="00394955">
              <w:rPr>
                <w:bCs/>
                <w:noProof/>
                <w:szCs w:val="22"/>
              </w:rPr>
              <w:t>, fatigue</w:t>
            </w:r>
          </w:p>
        </w:tc>
      </w:tr>
      <w:tr w:rsidR="006D4823" w:rsidRPr="00CC0F48" w14:paraId="4EF6AC94" w14:textId="77777777" w:rsidTr="00847EF1">
        <w:tc>
          <w:tcPr>
            <w:tcW w:w="2105" w:type="dxa"/>
          </w:tcPr>
          <w:p w14:paraId="230C16E1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  <w:r w:rsidRPr="00394955">
              <w:rPr>
                <w:bCs/>
                <w:noProof/>
                <w:szCs w:val="22"/>
              </w:rPr>
              <w:t>Investigations</w:t>
            </w:r>
          </w:p>
        </w:tc>
        <w:tc>
          <w:tcPr>
            <w:tcW w:w="1596" w:type="dxa"/>
          </w:tcPr>
          <w:p w14:paraId="21D688B0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681" w:type="dxa"/>
          </w:tcPr>
          <w:p w14:paraId="3E467E56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14:paraId="31697E23" w14:textId="77777777" w:rsidR="00087C3E" w:rsidRPr="00394955" w:rsidRDefault="00087C3E" w:rsidP="00847EF1">
            <w:pPr>
              <w:suppressAutoHyphens/>
              <w:rPr>
                <w:bCs/>
                <w:noProof/>
                <w:szCs w:val="22"/>
              </w:rPr>
            </w:pPr>
          </w:p>
        </w:tc>
        <w:tc>
          <w:tcPr>
            <w:tcW w:w="2552" w:type="dxa"/>
          </w:tcPr>
          <w:p w14:paraId="3718D6D6" w14:textId="557E702B" w:rsidR="00087C3E" w:rsidRPr="00394955" w:rsidRDefault="00084B59" w:rsidP="00847EF1">
            <w:pPr>
              <w:suppressAutoHyphens/>
              <w:rPr>
                <w:bCs/>
                <w:noProof/>
                <w:szCs w:val="22"/>
                <w:lang w:val="fr-FR"/>
              </w:rPr>
            </w:pPr>
            <w:r w:rsidRPr="00394955">
              <w:rPr>
                <w:bCs/>
                <w:noProof/>
                <w:szCs w:val="22"/>
                <w:lang w:val="fr-FR"/>
              </w:rPr>
              <w:t>Changes in biological tests</w:t>
            </w:r>
          </w:p>
        </w:tc>
      </w:tr>
    </w:tbl>
    <w:p w14:paraId="5BD2FD94" w14:textId="77777777" w:rsidR="00087C3E" w:rsidRDefault="00087C3E" w:rsidP="002A4342">
      <w:pPr>
        <w:rPr>
          <w:rFonts w:eastAsia="SimSun"/>
          <w:szCs w:val="22"/>
          <w:lang w:val="en-US" w:eastAsia="fr-BE"/>
        </w:rPr>
      </w:pPr>
    </w:p>
    <w:p w14:paraId="30452B2C" w14:textId="62E73B18" w:rsidR="0015541C" w:rsidRPr="0015541C" w:rsidRDefault="0015541C" w:rsidP="002A4342">
      <w:pPr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 xml:space="preserve">During treatment with 5-nitro-imidazole derivatives, as tinidazole, </w:t>
      </w:r>
      <w:proofErr w:type="spellStart"/>
      <w:r>
        <w:rPr>
          <w:rFonts w:eastAsia="SimSun"/>
          <w:szCs w:val="22"/>
          <w:lang w:val="en-US" w:eastAsia="fr-BE"/>
        </w:rPr>
        <w:t>surinfection</w:t>
      </w:r>
      <w:proofErr w:type="spellEnd"/>
      <w:r>
        <w:rPr>
          <w:rFonts w:eastAsia="SimSun"/>
          <w:szCs w:val="22"/>
          <w:lang w:val="en-US" w:eastAsia="fr-BE"/>
        </w:rPr>
        <w:t xml:space="preserve"> by </w:t>
      </w:r>
      <w:r>
        <w:rPr>
          <w:rFonts w:eastAsia="SimSun"/>
          <w:i/>
          <w:szCs w:val="22"/>
          <w:lang w:val="en-US" w:eastAsia="fr-BE"/>
        </w:rPr>
        <w:t>Candida albicans</w:t>
      </w:r>
      <w:r>
        <w:rPr>
          <w:rFonts w:eastAsia="SimSun"/>
          <w:szCs w:val="22"/>
          <w:lang w:val="en-US" w:eastAsia="fr-BE"/>
        </w:rPr>
        <w:t xml:space="preserve"> can happen.</w:t>
      </w:r>
    </w:p>
    <w:p w14:paraId="3046AB05" w14:textId="77777777" w:rsidR="00087C3E" w:rsidRDefault="00087C3E" w:rsidP="00087C3E">
      <w:pPr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</w:rPr>
      </w:pPr>
    </w:p>
    <w:p w14:paraId="4D6CA0F6" w14:textId="41247FC6" w:rsidR="00087C3E" w:rsidRPr="00087C3E" w:rsidRDefault="00087C3E" w:rsidP="00087C3E">
      <w:pPr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</w:rPr>
      </w:pPr>
      <w:r w:rsidRPr="00087C3E">
        <w:rPr>
          <w:rFonts w:eastAsia="SimSun"/>
          <w:szCs w:val="22"/>
          <w:u w:val="single"/>
        </w:rPr>
        <w:t>Reporting of suspected adverse reactions</w:t>
      </w:r>
    </w:p>
    <w:p w14:paraId="6896129F" w14:textId="3A20C0CC" w:rsidR="002A4342" w:rsidRPr="00FB052B" w:rsidRDefault="00087C3E" w:rsidP="00087C3E">
      <w:pPr>
        <w:rPr>
          <w:rFonts w:eastAsia="SimSun"/>
          <w:sz w:val="24"/>
          <w:szCs w:val="24"/>
          <w:lang w:val="en-US" w:eastAsia="fr-BE"/>
        </w:rPr>
      </w:pPr>
      <w:r w:rsidRPr="00087C3E">
        <w:rPr>
          <w:rFonts w:eastAsia="SimSun"/>
          <w:szCs w:val="22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 the national reporting system</w:t>
      </w:r>
      <w:r>
        <w:rPr>
          <w:rFonts w:eastAsia="SimSun"/>
          <w:szCs w:val="22"/>
        </w:rPr>
        <w:t>.</w:t>
      </w:r>
    </w:p>
    <w:p w14:paraId="60553D38" w14:textId="77777777" w:rsidR="002A4342" w:rsidRPr="00FB052B" w:rsidRDefault="002A4342" w:rsidP="002A4342">
      <w:pPr>
        <w:rPr>
          <w:noProof/>
          <w:szCs w:val="22"/>
          <w:lang w:val="en-US"/>
        </w:rPr>
      </w:pPr>
    </w:p>
    <w:p w14:paraId="411A76EB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4.9</w:t>
      </w:r>
      <w:r w:rsidRPr="00F174D7">
        <w:rPr>
          <w:b/>
          <w:noProof/>
          <w:szCs w:val="22"/>
        </w:rPr>
        <w:tab/>
        <w:t>Overdose</w:t>
      </w:r>
    </w:p>
    <w:p w14:paraId="2F50EC97" w14:textId="77777777" w:rsidR="002A4342" w:rsidRDefault="002A4342" w:rsidP="008078B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450FCA88" w14:textId="77777777" w:rsidR="00084B59" w:rsidRPr="00394955" w:rsidRDefault="002A4342" w:rsidP="008078B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 xml:space="preserve">Signs and symptoms of overdosage: </w:t>
      </w:r>
    </w:p>
    <w:p w14:paraId="46AA951C" w14:textId="79554259" w:rsidR="00084B59" w:rsidRDefault="00084B59" w:rsidP="008078B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  <w:r w:rsidRPr="00084B59">
        <w:rPr>
          <w:rFonts w:eastAsia="SimSun"/>
          <w:szCs w:val="22"/>
          <w:lang w:val="en-US" w:eastAsia="fr-BE"/>
        </w:rPr>
        <w:t>Reports of tinidazole overdose in humans are anecdotal and do not provide consistent data regarding the signs and symptoms of overdose</w:t>
      </w:r>
      <w:r>
        <w:rPr>
          <w:rFonts w:eastAsia="SimSun"/>
          <w:szCs w:val="22"/>
          <w:lang w:val="en-US" w:eastAsia="fr-BE"/>
        </w:rPr>
        <w:t>.</w:t>
      </w:r>
    </w:p>
    <w:p w14:paraId="2F4406CE" w14:textId="77777777" w:rsidR="00084B59" w:rsidRDefault="00084B59" w:rsidP="008078B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</w:p>
    <w:p w14:paraId="252EA748" w14:textId="3C1FE940" w:rsidR="00084B59" w:rsidRPr="00394955" w:rsidRDefault="002A4342" w:rsidP="008078B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>Treatment of overdosage:</w:t>
      </w:r>
    </w:p>
    <w:p w14:paraId="7BFC6AEA" w14:textId="7B6869D2" w:rsidR="00084B59" w:rsidRDefault="008D4CB9" w:rsidP="008078B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  <w:r w:rsidRPr="00D127DA">
        <w:rPr>
          <w:rFonts w:eastAsia="SimSun"/>
          <w:szCs w:val="22"/>
          <w:lang w:val="en-US" w:eastAsia="fr-BE"/>
        </w:rPr>
        <w:t xml:space="preserve">There is no specific antidote for treatment of overdosage with tinidazole. </w:t>
      </w:r>
      <w:r w:rsidR="00084B59">
        <w:rPr>
          <w:rFonts w:eastAsia="SimSun"/>
          <w:szCs w:val="22"/>
          <w:lang w:val="en-US" w:eastAsia="fr-BE"/>
        </w:rPr>
        <w:t>S</w:t>
      </w:r>
      <w:r w:rsidRPr="00D127DA">
        <w:rPr>
          <w:rFonts w:eastAsia="SimSun"/>
          <w:szCs w:val="22"/>
          <w:lang w:val="en-US" w:eastAsia="fr-BE"/>
        </w:rPr>
        <w:t>ymptomatic and supportive</w:t>
      </w:r>
      <w:r w:rsidR="00084B59" w:rsidRPr="00084B59">
        <w:rPr>
          <w:rFonts w:eastAsia="SimSun"/>
          <w:szCs w:val="22"/>
          <w:lang w:val="en-US" w:eastAsia="fr-BE"/>
        </w:rPr>
        <w:t xml:space="preserve"> </w:t>
      </w:r>
      <w:r w:rsidR="00084B59">
        <w:rPr>
          <w:rFonts w:eastAsia="SimSun"/>
          <w:szCs w:val="22"/>
          <w:lang w:val="en-US" w:eastAsia="fr-BE"/>
        </w:rPr>
        <w:t>treatment should be given, a</w:t>
      </w:r>
      <w:r w:rsidR="008078B6">
        <w:rPr>
          <w:rFonts w:eastAsia="SimSun"/>
          <w:szCs w:val="22"/>
          <w:lang w:val="en-US" w:eastAsia="fr-BE"/>
        </w:rPr>
        <w:t xml:space="preserve"> </w:t>
      </w:r>
      <w:r w:rsidR="00084B59">
        <w:rPr>
          <w:rFonts w:eastAsia="SimSun"/>
          <w:szCs w:val="22"/>
          <w:lang w:val="en-US" w:eastAsia="fr-BE"/>
        </w:rPr>
        <w:t>g</w:t>
      </w:r>
      <w:r w:rsidRPr="00D127DA">
        <w:rPr>
          <w:rFonts w:eastAsia="SimSun"/>
          <w:szCs w:val="22"/>
          <w:lang w:val="en-US" w:eastAsia="fr-BE"/>
        </w:rPr>
        <w:t xml:space="preserve">astric lavage may be useful. </w:t>
      </w:r>
    </w:p>
    <w:p w14:paraId="3BB7208F" w14:textId="6FB08B6E" w:rsidR="00812D16" w:rsidRPr="00F174D7" w:rsidRDefault="008D4CB9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E4656">
        <w:rPr>
          <w:rFonts w:eastAsia="SimSun"/>
          <w:szCs w:val="22"/>
          <w:lang w:val="en-US" w:eastAsia="fr-BE"/>
        </w:rPr>
        <w:t>Tinidazole is easily dialysable.</w:t>
      </w:r>
    </w:p>
    <w:p w14:paraId="7B68E1DE" w14:textId="747C171C" w:rsidR="008D4CB9" w:rsidRDefault="008D4CB9" w:rsidP="006B4557">
      <w:pPr>
        <w:rPr>
          <w:szCs w:val="22"/>
        </w:rPr>
      </w:pPr>
    </w:p>
    <w:p w14:paraId="578F89C7" w14:textId="77777777" w:rsidR="0015782D" w:rsidRPr="00F174D7" w:rsidRDefault="0015782D" w:rsidP="006B4557">
      <w:pPr>
        <w:rPr>
          <w:szCs w:val="22"/>
        </w:rPr>
      </w:pPr>
    </w:p>
    <w:p w14:paraId="01ADEC47" w14:textId="77777777" w:rsidR="00812D16" w:rsidRPr="00F174D7" w:rsidRDefault="00812D16" w:rsidP="008225EB">
      <w:pPr>
        <w:suppressAutoHyphens/>
        <w:ind w:left="567" w:hanging="567"/>
        <w:rPr>
          <w:szCs w:val="22"/>
        </w:rPr>
      </w:pPr>
      <w:r w:rsidRPr="00284C4F">
        <w:rPr>
          <w:b/>
          <w:szCs w:val="22"/>
        </w:rPr>
        <w:t>5.</w:t>
      </w:r>
      <w:r w:rsidRPr="00284C4F">
        <w:rPr>
          <w:b/>
          <w:szCs w:val="22"/>
        </w:rPr>
        <w:tab/>
        <w:t>PHARMACOLOGICAL PROPERTIES</w:t>
      </w:r>
    </w:p>
    <w:p w14:paraId="084DFF31" w14:textId="01A7898F" w:rsidR="00812D16" w:rsidRDefault="00812D16" w:rsidP="006B4557">
      <w:pPr>
        <w:rPr>
          <w:szCs w:val="22"/>
        </w:rPr>
      </w:pPr>
    </w:p>
    <w:p w14:paraId="1354DB0A" w14:textId="3963C8EE" w:rsidR="0015782D" w:rsidRDefault="0015782D" w:rsidP="006B4557">
      <w:pPr>
        <w:rPr>
          <w:szCs w:val="22"/>
        </w:rPr>
      </w:pPr>
    </w:p>
    <w:p w14:paraId="44201D94" w14:textId="77777777" w:rsidR="0015782D" w:rsidRPr="00F174D7" w:rsidRDefault="0015782D" w:rsidP="006B4557">
      <w:pPr>
        <w:rPr>
          <w:szCs w:val="22"/>
        </w:rPr>
      </w:pPr>
    </w:p>
    <w:p w14:paraId="3343B267" w14:textId="77777777" w:rsidR="00812D16" w:rsidRPr="00F174D7" w:rsidRDefault="00812D16" w:rsidP="006B4557">
      <w:pPr>
        <w:ind w:left="567" w:hanging="567"/>
        <w:outlineLvl w:val="0"/>
        <w:rPr>
          <w:szCs w:val="22"/>
        </w:rPr>
      </w:pPr>
      <w:r w:rsidRPr="00F174D7">
        <w:rPr>
          <w:b/>
          <w:szCs w:val="22"/>
        </w:rPr>
        <w:lastRenderedPageBreak/>
        <w:t xml:space="preserve">5.1 </w:t>
      </w:r>
      <w:r w:rsidRPr="00F174D7">
        <w:rPr>
          <w:b/>
          <w:szCs w:val="22"/>
        </w:rPr>
        <w:tab/>
        <w:t>Pharmacodynamic properties</w:t>
      </w:r>
    </w:p>
    <w:p w14:paraId="471FDB58" w14:textId="77777777" w:rsidR="00812D16" w:rsidRPr="00F174D7" w:rsidRDefault="00812D16" w:rsidP="006B4557">
      <w:pPr>
        <w:rPr>
          <w:szCs w:val="22"/>
        </w:rPr>
      </w:pPr>
    </w:p>
    <w:p w14:paraId="2C2EA9EE" w14:textId="77777777" w:rsidR="00812D16" w:rsidRPr="00D127DA" w:rsidRDefault="00812D16" w:rsidP="00394955">
      <w:pPr>
        <w:jc w:val="both"/>
        <w:outlineLvl w:val="0"/>
        <w:rPr>
          <w:rFonts w:eastAsia="SimSun"/>
          <w:szCs w:val="22"/>
          <w:lang w:val="en-US" w:eastAsia="fr-BE"/>
        </w:rPr>
      </w:pPr>
      <w:r w:rsidRPr="00D127DA">
        <w:rPr>
          <w:rFonts w:eastAsia="SimSun"/>
          <w:szCs w:val="22"/>
          <w:lang w:val="en-US" w:eastAsia="fr-BE"/>
        </w:rPr>
        <w:t xml:space="preserve">Pharmacotherapeutic group: </w:t>
      </w:r>
      <w:r w:rsidR="0068664E">
        <w:rPr>
          <w:rFonts w:eastAsia="SimSun"/>
          <w:szCs w:val="22"/>
          <w:lang w:val="en-US" w:eastAsia="fr-BE"/>
        </w:rPr>
        <w:t>antibacterial</w:t>
      </w:r>
      <w:r w:rsidR="008B270F">
        <w:rPr>
          <w:rFonts w:eastAsia="SimSun"/>
          <w:szCs w:val="22"/>
          <w:lang w:val="en-US" w:eastAsia="fr-BE"/>
        </w:rPr>
        <w:t xml:space="preserve"> for systemic use,</w:t>
      </w:r>
      <w:r w:rsidRPr="00D127DA">
        <w:rPr>
          <w:rFonts w:eastAsia="SimSun"/>
          <w:szCs w:val="22"/>
          <w:lang w:val="en-US" w:eastAsia="fr-BE"/>
        </w:rPr>
        <w:t xml:space="preserve"> ATC code: </w:t>
      </w:r>
      <w:r w:rsidR="0068664E" w:rsidRPr="0068664E">
        <w:rPr>
          <w:lang w:val="en-US" w:eastAsia="fr-BE"/>
        </w:rPr>
        <w:t>J01XD02.</w:t>
      </w:r>
    </w:p>
    <w:p w14:paraId="1539E149" w14:textId="62E1FBC3" w:rsidR="00812D16" w:rsidRPr="00394955" w:rsidRDefault="002371C6" w:rsidP="00394955">
      <w:pPr>
        <w:jc w:val="both"/>
        <w:rPr>
          <w:noProof/>
          <w:szCs w:val="22"/>
        </w:rPr>
      </w:pPr>
      <w:r>
        <w:rPr>
          <w:noProof/>
          <w:szCs w:val="22"/>
        </w:rPr>
        <w:t>Agents against amoebiasis an</w:t>
      </w:r>
      <w:r w:rsidR="00D543CE">
        <w:rPr>
          <w:noProof/>
          <w:szCs w:val="22"/>
        </w:rPr>
        <w:t>d</w:t>
      </w:r>
      <w:r>
        <w:rPr>
          <w:noProof/>
          <w:szCs w:val="22"/>
        </w:rPr>
        <w:t xml:space="preserve"> other protozoal diseases ( Nitroimidazole derivtaes), ATC code: P01AB02.</w:t>
      </w:r>
    </w:p>
    <w:p w14:paraId="721F4198" w14:textId="77777777" w:rsidR="00084B59" w:rsidRDefault="00084B59" w:rsidP="00394955">
      <w:pPr>
        <w:jc w:val="both"/>
        <w:rPr>
          <w:i/>
          <w:noProof/>
          <w:szCs w:val="22"/>
        </w:rPr>
      </w:pPr>
    </w:p>
    <w:p w14:paraId="68846E7B" w14:textId="12844AF9" w:rsidR="008B270F" w:rsidRPr="008B270F" w:rsidRDefault="0068664E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8B270F">
        <w:rPr>
          <w:noProof/>
          <w:szCs w:val="22"/>
        </w:rPr>
        <w:t>Tinidazole</w:t>
      </w:r>
      <w:r w:rsidR="00D543CE">
        <w:rPr>
          <w:noProof/>
          <w:szCs w:val="22"/>
        </w:rPr>
        <w:t xml:space="preserve"> </w:t>
      </w:r>
      <w:r w:rsidR="001D6E13">
        <w:rPr>
          <w:noProof/>
          <w:szCs w:val="22"/>
        </w:rPr>
        <w:t xml:space="preserve">is a derivative of the substitued imidazole group of compounds. </w:t>
      </w:r>
      <w:r w:rsidR="001D6E13">
        <w:rPr>
          <w:lang w:val="en-US" w:eastAsia="fr-BE"/>
        </w:rPr>
        <w:t>Tinidazole</w:t>
      </w:r>
      <w:r w:rsidR="008B270F" w:rsidRPr="008B270F">
        <w:rPr>
          <w:lang w:val="en-US" w:eastAsia="fr-BE"/>
        </w:rPr>
        <w:t xml:space="preserve"> has been shown to be effective against </w:t>
      </w:r>
      <w:r w:rsidR="008B270F" w:rsidRPr="008B270F">
        <w:rPr>
          <w:rFonts w:eastAsia="SimSun"/>
          <w:i/>
          <w:iCs/>
          <w:szCs w:val="22"/>
          <w:lang w:val="en-US" w:eastAsia="fr-BE"/>
        </w:rPr>
        <w:t>Trichomonas vaginalis</w:t>
      </w:r>
      <w:r w:rsidR="008B270F" w:rsidRPr="008B270F">
        <w:rPr>
          <w:rFonts w:eastAsia="SimSun"/>
          <w:szCs w:val="22"/>
          <w:lang w:val="en-US" w:eastAsia="fr-BE"/>
        </w:rPr>
        <w:t xml:space="preserve">, </w:t>
      </w:r>
      <w:r w:rsidR="008B270F" w:rsidRPr="008B270F">
        <w:rPr>
          <w:rFonts w:eastAsia="SimSun"/>
          <w:i/>
          <w:iCs/>
          <w:szCs w:val="22"/>
          <w:lang w:val="en-US" w:eastAsia="fr-BE"/>
        </w:rPr>
        <w:t>Entamoeba</w:t>
      </w:r>
      <w:r w:rsidR="008B270F" w:rsidRPr="008B270F">
        <w:rPr>
          <w:rFonts w:eastAsia="SimSun"/>
          <w:i/>
          <w:szCs w:val="22"/>
          <w:lang w:val="en-US" w:eastAsia="fr-BE"/>
        </w:rPr>
        <w:t xml:space="preserve"> </w:t>
      </w:r>
      <w:r w:rsidR="008B270F" w:rsidRPr="008B270F">
        <w:rPr>
          <w:rFonts w:eastAsia="SimSun"/>
          <w:i/>
          <w:iCs/>
          <w:szCs w:val="22"/>
          <w:lang w:val="en-US" w:eastAsia="fr-BE"/>
        </w:rPr>
        <w:t>histolytica</w:t>
      </w:r>
      <w:r w:rsidR="008B270F" w:rsidRPr="008B270F">
        <w:rPr>
          <w:rFonts w:eastAsia="SimSun"/>
          <w:iCs/>
          <w:szCs w:val="22"/>
          <w:lang w:val="en-US" w:eastAsia="fr-BE"/>
        </w:rPr>
        <w:t xml:space="preserve"> and</w:t>
      </w:r>
      <w:r w:rsidR="008B270F" w:rsidRPr="008B270F">
        <w:rPr>
          <w:rFonts w:eastAsia="SimSun"/>
          <w:szCs w:val="22"/>
          <w:lang w:val="en-US" w:eastAsia="fr-BE"/>
        </w:rPr>
        <w:t xml:space="preserve"> </w:t>
      </w:r>
      <w:r w:rsidR="008B270F" w:rsidRPr="008B270F">
        <w:rPr>
          <w:rFonts w:eastAsia="SimSun"/>
          <w:i/>
          <w:iCs/>
          <w:szCs w:val="22"/>
          <w:lang w:val="en-US" w:eastAsia="fr-BE"/>
        </w:rPr>
        <w:t>Giardia lamblia</w:t>
      </w:r>
      <w:r w:rsidR="002371C6">
        <w:rPr>
          <w:rFonts w:eastAsia="SimSun"/>
          <w:iCs/>
          <w:szCs w:val="22"/>
          <w:lang w:val="en-US" w:eastAsia="fr-BE"/>
        </w:rPr>
        <w:t xml:space="preserve">, and </w:t>
      </w:r>
      <w:r w:rsidR="008B270F" w:rsidRPr="008B270F">
        <w:rPr>
          <w:rFonts w:eastAsia="SimSun"/>
          <w:iCs/>
          <w:szCs w:val="22"/>
          <w:lang w:val="en-US" w:eastAsia="fr-BE"/>
        </w:rPr>
        <w:t xml:space="preserve">against anaerobic bacteria such as </w:t>
      </w:r>
      <w:r w:rsidR="008B270F" w:rsidRPr="008B270F">
        <w:rPr>
          <w:rFonts w:eastAsia="SimSun"/>
          <w:i/>
          <w:iCs/>
          <w:szCs w:val="22"/>
          <w:lang w:val="en-US" w:eastAsia="fr-BE"/>
        </w:rPr>
        <w:t>Bacteroides fragilis</w:t>
      </w:r>
      <w:r w:rsidR="001D6E13">
        <w:rPr>
          <w:rFonts w:eastAsia="SimSun"/>
          <w:szCs w:val="22"/>
          <w:lang w:val="en-US" w:eastAsia="fr-BE"/>
        </w:rPr>
        <w:t>,</w:t>
      </w:r>
      <w:r w:rsidR="002371C6" w:rsidRPr="00394955">
        <w:rPr>
          <w:i/>
          <w:iCs/>
          <w:szCs w:val="22"/>
          <w:lang w:eastAsia="fr-BE"/>
        </w:rPr>
        <w:t xml:space="preserve"> Bacteroides </w:t>
      </w:r>
      <w:proofErr w:type="spellStart"/>
      <w:r w:rsidR="002371C6" w:rsidRPr="00394955">
        <w:rPr>
          <w:i/>
          <w:iCs/>
          <w:szCs w:val="22"/>
          <w:lang w:eastAsia="fr-BE"/>
        </w:rPr>
        <w:t>melaninogenicus</w:t>
      </w:r>
      <w:proofErr w:type="spellEnd"/>
      <w:r w:rsidR="002371C6" w:rsidRPr="00394955">
        <w:rPr>
          <w:i/>
          <w:iCs/>
          <w:szCs w:val="22"/>
          <w:lang w:eastAsia="fr-BE"/>
        </w:rPr>
        <w:t>,</w:t>
      </w:r>
      <w:r w:rsidR="008B270F" w:rsidRPr="002371C6">
        <w:rPr>
          <w:rFonts w:eastAsia="SimSun"/>
          <w:szCs w:val="22"/>
          <w:lang w:val="en-US" w:eastAsia="fr-BE"/>
        </w:rPr>
        <w:t xml:space="preserve"> </w:t>
      </w:r>
      <w:r w:rsidR="008B270F" w:rsidRPr="008B270F">
        <w:rPr>
          <w:rFonts w:eastAsia="SimSun"/>
          <w:i/>
          <w:szCs w:val="22"/>
          <w:lang w:val="en-US" w:eastAsia="fr-BE"/>
        </w:rPr>
        <w:t>Bacteroides spp</w:t>
      </w:r>
      <w:r w:rsidR="008B270F" w:rsidRPr="008B270F">
        <w:rPr>
          <w:rFonts w:eastAsia="SimSun"/>
          <w:szCs w:val="22"/>
          <w:lang w:val="en-US" w:eastAsia="fr-BE"/>
        </w:rPr>
        <w:t xml:space="preserve">., </w:t>
      </w:r>
      <w:r w:rsidR="008B270F" w:rsidRPr="008B270F">
        <w:rPr>
          <w:rFonts w:eastAsia="SimSun"/>
          <w:i/>
          <w:szCs w:val="22"/>
          <w:lang w:val="en-US" w:eastAsia="fr-BE"/>
        </w:rPr>
        <w:t>Fusobacterium spp</w:t>
      </w:r>
      <w:r w:rsidR="008B270F" w:rsidRPr="008B270F">
        <w:rPr>
          <w:rFonts w:eastAsia="SimSun"/>
          <w:szCs w:val="22"/>
          <w:lang w:val="en-US" w:eastAsia="fr-BE"/>
        </w:rPr>
        <w:t>.</w:t>
      </w:r>
      <w:r w:rsidR="008B270F">
        <w:rPr>
          <w:rFonts w:eastAsia="SimSun"/>
          <w:szCs w:val="22"/>
          <w:lang w:val="en-US" w:eastAsia="fr-BE"/>
        </w:rPr>
        <w:t xml:space="preserve">, </w:t>
      </w:r>
      <w:proofErr w:type="spellStart"/>
      <w:r w:rsidR="008B270F" w:rsidRPr="008B270F">
        <w:rPr>
          <w:rFonts w:eastAsia="SimSun"/>
          <w:i/>
          <w:szCs w:val="22"/>
          <w:lang w:val="en-US" w:eastAsia="fr-BE"/>
        </w:rPr>
        <w:t>Peptococcus</w:t>
      </w:r>
      <w:proofErr w:type="spellEnd"/>
      <w:r w:rsidR="008B270F" w:rsidRPr="008B270F">
        <w:rPr>
          <w:rFonts w:eastAsia="SimSun"/>
          <w:i/>
          <w:szCs w:val="22"/>
          <w:lang w:val="en-US" w:eastAsia="fr-BE"/>
        </w:rPr>
        <w:t xml:space="preserve"> spp</w:t>
      </w:r>
      <w:r w:rsidR="008B270F" w:rsidRPr="008B270F">
        <w:rPr>
          <w:rFonts w:eastAsia="SimSun"/>
          <w:szCs w:val="22"/>
          <w:lang w:val="en-US" w:eastAsia="fr-BE"/>
        </w:rPr>
        <w:t xml:space="preserve">., </w:t>
      </w:r>
      <w:proofErr w:type="spellStart"/>
      <w:r w:rsidR="008B270F" w:rsidRPr="008B270F">
        <w:rPr>
          <w:rFonts w:eastAsia="SimSun"/>
          <w:i/>
          <w:szCs w:val="22"/>
          <w:lang w:val="en-US" w:eastAsia="fr-BE"/>
        </w:rPr>
        <w:t>Peptostreptococcus</w:t>
      </w:r>
      <w:proofErr w:type="spellEnd"/>
      <w:r w:rsidR="008B270F" w:rsidRPr="008B270F">
        <w:rPr>
          <w:rFonts w:eastAsia="SimSun"/>
          <w:i/>
          <w:szCs w:val="22"/>
          <w:lang w:val="en-US" w:eastAsia="fr-BE"/>
        </w:rPr>
        <w:t xml:space="preserve"> </w:t>
      </w:r>
      <w:proofErr w:type="spellStart"/>
      <w:r w:rsidR="008B270F" w:rsidRPr="008B270F">
        <w:rPr>
          <w:rFonts w:eastAsia="SimSun"/>
          <w:i/>
          <w:szCs w:val="22"/>
          <w:lang w:val="en-US" w:eastAsia="fr-BE"/>
        </w:rPr>
        <w:t>spp</w:t>
      </w:r>
      <w:proofErr w:type="spellEnd"/>
      <w:r w:rsidR="008B270F">
        <w:rPr>
          <w:rFonts w:eastAsia="SimSun"/>
          <w:szCs w:val="22"/>
          <w:lang w:val="en-US" w:eastAsia="fr-BE"/>
        </w:rPr>
        <w:t xml:space="preserve">, </w:t>
      </w:r>
      <w:r w:rsidR="008B270F" w:rsidRPr="008B270F">
        <w:rPr>
          <w:rFonts w:eastAsia="SimSun"/>
          <w:i/>
          <w:szCs w:val="22"/>
          <w:lang w:val="en-US" w:eastAsia="fr-BE"/>
        </w:rPr>
        <w:t>Clostridium spp</w:t>
      </w:r>
      <w:r w:rsidR="008B270F" w:rsidRPr="008B270F">
        <w:rPr>
          <w:rFonts w:eastAsia="SimSun"/>
          <w:szCs w:val="22"/>
          <w:lang w:val="en-US" w:eastAsia="fr-BE"/>
        </w:rPr>
        <w:t xml:space="preserve">., </w:t>
      </w:r>
      <w:r w:rsidR="008B270F" w:rsidRPr="008B270F">
        <w:rPr>
          <w:rFonts w:eastAsia="SimSun"/>
          <w:i/>
          <w:szCs w:val="22"/>
          <w:lang w:val="en-US" w:eastAsia="fr-BE"/>
        </w:rPr>
        <w:t>Eubacterium spp</w:t>
      </w:r>
      <w:r w:rsidR="001D6E13">
        <w:rPr>
          <w:rFonts w:eastAsia="SimSun"/>
          <w:szCs w:val="22"/>
          <w:lang w:val="en-US" w:eastAsia="fr-BE"/>
        </w:rPr>
        <w:t>., and</w:t>
      </w:r>
      <w:r w:rsidR="008B270F" w:rsidRPr="008B270F">
        <w:rPr>
          <w:rFonts w:eastAsia="SimSun"/>
          <w:szCs w:val="22"/>
          <w:lang w:val="en-US" w:eastAsia="fr-BE"/>
        </w:rPr>
        <w:t xml:space="preserve"> </w:t>
      </w:r>
      <w:proofErr w:type="spellStart"/>
      <w:r w:rsidR="008B270F" w:rsidRPr="001D6E13">
        <w:rPr>
          <w:rFonts w:eastAsia="SimSun"/>
          <w:i/>
          <w:szCs w:val="22"/>
          <w:lang w:val="en-US" w:eastAsia="fr-BE"/>
        </w:rPr>
        <w:t>Veillonella</w:t>
      </w:r>
      <w:proofErr w:type="spellEnd"/>
      <w:r w:rsidR="008B270F" w:rsidRPr="001D6E13">
        <w:rPr>
          <w:rFonts w:eastAsia="SimSun"/>
          <w:i/>
          <w:szCs w:val="22"/>
          <w:lang w:val="en-US" w:eastAsia="fr-BE"/>
        </w:rPr>
        <w:t xml:space="preserve"> spp</w:t>
      </w:r>
      <w:r w:rsidR="008B270F" w:rsidRPr="008B270F">
        <w:rPr>
          <w:rFonts w:eastAsia="SimSun"/>
          <w:szCs w:val="22"/>
          <w:lang w:val="en-US" w:eastAsia="fr-BE"/>
        </w:rPr>
        <w:t>.</w:t>
      </w:r>
    </w:p>
    <w:p w14:paraId="3B8F5108" w14:textId="77777777" w:rsidR="0068664E" w:rsidRPr="001D6E13" w:rsidRDefault="001D6E13" w:rsidP="00394955">
      <w:pPr>
        <w:jc w:val="both"/>
        <w:rPr>
          <w:noProof/>
          <w:szCs w:val="22"/>
          <w:lang w:val="en-US"/>
        </w:rPr>
      </w:pPr>
      <w:r>
        <w:rPr>
          <w:noProof/>
          <w:szCs w:val="22"/>
          <w:lang w:val="en-US"/>
        </w:rPr>
        <w:t xml:space="preserve">Tinidazole is also active in vitro against </w:t>
      </w:r>
      <w:r w:rsidRPr="00D127DA">
        <w:rPr>
          <w:rFonts w:eastAsia="SimSun"/>
          <w:i/>
          <w:iCs/>
          <w:szCs w:val="22"/>
          <w:lang w:val="en-US" w:eastAsia="fr-BE"/>
        </w:rPr>
        <w:t xml:space="preserve">Gardnerella vaginalis </w:t>
      </w:r>
      <w:r>
        <w:rPr>
          <w:rFonts w:eastAsia="SimSun"/>
          <w:szCs w:val="22"/>
          <w:lang w:val="en-US" w:eastAsia="fr-BE"/>
        </w:rPr>
        <w:t xml:space="preserve">but it is inactive against </w:t>
      </w:r>
      <w:r w:rsidRPr="001D6E13">
        <w:rPr>
          <w:rFonts w:eastAsia="SimSun"/>
          <w:i/>
          <w:szCs w:val="22"/>
          <w:lang w:val="en-US" w:eastAsia="fr-BE"/>
        </w:rPr>
        <w:t>Candida albicans</w:t>
      </w:r>
      <w:r>
        <w:rPr>
          <w:rFonts w:eastAsia="SimSun"/>
          <w:szCs w:val="22"/>
          <w:lang w:val="en-US" w:eastAsia="fr-BE"/>
        </w:rPr>
        <w:t>.</w:t>
      </w:r>
    </w:p>
    <w:p w14:paraId="23F51780" w14:textId="77777777" w:rsidR="002371C6" w:rsidRDefault="002371C6" w:rsidP="00394955">
      <w:pPr>
        <w:jc w:val="both"/>
        <w:rPr>
          <w:lang w:eastAsia="fr-BE"/>
        </w:rPr>
      </w:pPr>
    </w:p>
    <w:p w14:paraId="04246C69" w14:textId="783CF1D8" w:rsidR="0068664E" w:rsidRDefault="001D6E13" w:rsidP="00394955">
      <w:pPr>
        <w:jc w:val="both"/>
        <w:rPr>
          <w:lang w:eastAsia="fr-BE"/>
        </w:rPr>
      </w:pPr>
      <w:r>
        <w:rPr>
          <w:lang w:eastAsia="fr-BE"/>
        </w:rPr>
        <w:t>Tinidazole chemical name is: 1-(2-ethylsulfonylethyl)-2-methyl-5-nitroimidazole</w:t>
      </w:r>
      <w:r w:rsidR="002371C6">
        <w:rPr>
          <w:lang w:eastAsia="fr-BE"/>
        </w:rPr>
        <w:t>.</w:t>
      </w:r>
    </w:p>
    <w:p w14:paraId="045FBD15" w14:textId="387AA782" w:rsidR="001D6E13" w:rsidRDefault="00284C4F" w:rsidP="00394955">
      <w:pPr>
        <w:jc w:val="both"/>
        <w:rPr>
          <w:lang w:eastAsia="fr-BE"/>
        </w:rPr>
      </w:pPr>
      <w:r>
        <w:rPr>
          <w:lang w:eastAsia="fr-BE"/>
        </w:rPr>
        <w:t xml:space="preserve">Tinidazole is a pale yellow crystalline solid that is insoluble in water, but soluble in </w:t>
      </w:r>
      <w:r w:rsidR="002371C6">
        <w:rPr>
          <w:lang w:eastAsia="fr-BE"/>
        </w:rPr>
        <w:t xml:space="preserve">organic solvents such as </w:t>
      </w:r>
      <w:r>
        <w:rPr>
          <w:lang w:eastAsia="fr-BE"/>
        </w:rPr>
        <w:t xml:space="preserve">methanol and chloroform. </w:t>
      </w:r>
    </w:p>
    <w:p w14:paraId="5C99ECC2" w14:textId="71862126" w:rsidR="002371C6" w:rsidRDefault="002371C6" w:rsidP="00284C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fr-BE"/>
        </w:rPr>
      </w:pPr>
    </w:p>
    <w:p w14:paraId="41B29F92" w14:textId="550D7B54" w:rsidR="002371C6" w:rsidRDefault="002371C6" w:rsidP="00284C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fr-BE"/>
        </w:rPr>
      </w:pPr>
      <w:r>
        <w:rPr>
          <w:rFonts w:eastAsia="SimSun"/>
          <w:szCs w:val="22"/>
          <w:lang w:eastAsia="fr-BE"/>
        </w:rPr>
        <w:t>Mechanism of action</w:t>
      </w:r>
      <w:r w:rsidR="00D543CE">
        <w:rPr>
          <w:rFonts w:eastAsia="SimSun"/>
          <w:szCs w:val="22"/>
          <w:lang w:eastAsia="fr-BE"/>
        </w:rPr>
        <w:t>:</w:t>
      </w:r>
    </w:p>
    <w:p w14:paraId="67E5864C" w14:textId="5516DEEF" w:rsidR="00284C4F" w:rsidRPr="00284C4F" w:rsidRDefault="00284C4F" w:rsidP="00284C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The mode of action of tinidazole</w:t>
      </w:r>
      <w:r w:rsidRPr="00D127DA">
        <w:rPr>
          <w:rFonts w:eastAsia="SimSun"/>
          <w:szCs w:val="22"/>
          <w:lang w:val="en-US" w:eastAsia="fr-BE"/>
        </w:rPr>
        <w:t xml:space="preserve"> against anaerobic bacteria involves penetration of the drug into the cell of the micro-organism and subsequent damage of DNA strands or inhibition of their synthesis.</w:t>
      </w:r>
    </w:p>
    <w:p w14:paraId="6B5E103C" w14:textId="77777777" w:rsidR="008D4CB9" w:rsidRPr="00F174D7" w:rsidRDefault="008D4CB9" w:rsidP="006B4557">
      <w:pPr>
        <w:rPr>
          <w:i/>
          <w:noProof/>
          <w:szCs w:val="22"/>
        </w:rPr>
      </w:pPr>
    </w:p>
    <w:p w14:paraId="6440698E" w14:textId="77777777" w:rsidR="00812D16" w:rsidRPr="00F174D7" w:rsidRDefault="00812D16" w:rsidP="006B4557">
      <w:pPr>
        <w:ind w:left="567" w:hanging="567"/>
        <w:outlineLvl w:val="0"/>
        <w:rPr>
          <w:b/>
          <w:noProof/>
          <w:szCs w:val="22"/>
        </w:rPr>
      </w:pPr>
      <w:r w:rsidRPr="00F174D7">
        <w:rPr>
          <w:b/>
          <w:noProof/>
          <w:szCs w:val="22"/>
        </w:rPr>
        <w:t>5.2</w:t>
      </w:r>
      <w:r w:rsidRPr="00F174D7">
        <w:rPr>
          <w:b/>
          <w:noProof/>
          <w:szCs w:val="22"/>
        </w:rPr>
        <w:tab/>
        <w:t>Pharmacokinetic properties</w:t>
      </w:r>
    </w:p>
    <w:p w14:paraId="161E6047" w14:textId="77777777" w:rsidR="00812D16" w:rsidRPr="00F174D7" w:rsidRDefault="00812D16" w:rsidP="006B4557">
      <w:pPr>
        <w:ind w:left="567" w:hanging="567"/>
        <w:outlineLvl w:val="0"/>
        <w:rPr>
          <w:b/>
          <w:noProof/>
          <w:szCs w:val="22"/>
        </w:rPr>
      </w:pPr>
    </w:p>
    <w:p w14:paraId="266048A7" w14:textId="69734D37" w:rsidR="00B04ECC" w:rsidRPr="00E9632F" w:rsidRDefault="00BB68F7" w:rsidP="008D4CB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eastAsia="fr-BE"/>
        </w:rPr>
      </w:pPr>
      <w:r>
        <w:rPr>
          <w:rFonts w:eastAsia="SimSun"/>
          <w:szCs w:val="22"/>
          <w:u w:val="single"/>
          <w:lang w:eastAsia="fr-BE"/>
        </w:rPr>
        <w:t>Absorption</w:t>
      </w:r>
    </w:p>
    <w:p w14:paraId="56D005BC" w14:textId="278C346F" w:rsidR="00526092" w:rsidRDefault="00284C4F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eastAsia="fr-BE"/>
        </w:rPr>
        <w:t xml:space="preserve">Tinidazole </w:t>
      </w:r>
      <w:r w:rsidR="008D4CB9" w:rsidRPr="00D127DA">
        <w:rPr>
          <w:rFonts w:eastAsia="SimSun"/>
          <w:szCs w:val="22"/>
          <w:lang w:val="en-US" w:eastAsia="fr-BE"/>
        </w:rPr>
        <w:t>is rapidly and completely absorbed following oral administration</w:t>
      </w:r>
      <w:r>
        <w:rPr>
          <w:rFonts w:eastAsia="SimSun"/>
          <w:szCs w:val="22"/>
          <w:lang w:val="en-US" w:eastAsia="fr-BE"/>
        </w:rPr>
        <w:t xml:space="preserve"> of a single oral dose of 2g of tinidazole</w:t>
      </w:r>
      <w:r w:rsidR="008D4CB9" w:rsidRPr="00D127DA">
        <w:rPr>
          <w:rFonts w:eastAsia="SimSun"/>
          <w:szCs w:val="22"/>
          <w:lang w:val="en-US" w:eastAsia="fr-BE"/>
        </w:rPr>
        <w:t>.</w:t>
      </w:r>
      <w:r>
        <w:rPr>
          <w:rFonts w:eastAsia="SimSun"/>
          <w:szCs w:val="22"/>
          <w:lang w:val="en-US" w:eastAsia="fr-BE"/>
        </w:rPr>
        <w:t xml:space="preserve"> Peak serum levels were obtained 1 to 2 hour</w:t>
      </w:r>
      <w:r w:rsidR="00847EF1">
        <w:rPr>
          <w:rFonts w:eastAsia="SimSun"/>
          <w:szCs w:val="22"/>
          <w:lang w:val="en-US" w:eastAsia="fr-BE"/>
        </w:rPr>
        <w:t>(</w:t>
      </w:r>
      <w:r>
        <w:rPr>
          <w:rFonts w:eastAsia="SimSun"/>
          <w:szCs w:val="22"/>
          <w:lang w:val="en-US" w:eastAsia="fr-BE"/>
        </w:rPr>
        <w:t>s</w:t>
      </w:r>
      <w:r w:rsidR="00847EF1">
        <w:rPr>
          <w:rFonts w:eastAsia="SimSun"/>
          <w:szCs w:val="22"/>
          <w:lang w:val="en-US" w:eastAsia="fr-BE"/>
        </w:rPr>
        <w:t>)</w:t>
      </w:r>
      <w:r>
        <w:rPr>
          <w:rFonts w:eastAsia="SimSun"/>
          <w:szCs w:val="22"/>
          <w:lang w:val="en-US" w:eastAsia="fr-BE"/>
        </w:rPr>
        <w:t xml:space="preserve"> post-administration</w:t>
      </w:r>
      <w:r w:rsidR="00BB68F7">
        <w:rPr>
          <w:rFonts w:eastAsia="SimSun"/>
          <w:szCs w:val="22"/>
          <w:lang w:val="en-US" w:eastAsia="fr-BE"/>
        </w:rPr>
        <w:t>.</w:t>
      </w:r>
      <w:r>
        <w:rPr>
          <w:rFonts w:eastAsia="SimSun"/>
          <w:szCs w:val="22"/>
          <w:lang w:val="en-US" w:eastAsia="fr-BE"/>
        </w:rPr>
        <w:t xml:space="preserve"> </w:t>
      </w:r>
      <w:r w:rsidR="00BB68F7">
        <w:rPr>
          <w:rFonts w:eastAsia="SimSun"/>
          <w:szCs w:val="22"/>
          <w:lang w:val="en-US" w:eastAsia="fr-BE"/>
        </w:rPr>
        <w:t>T</w:t>
      </w:r>
      <w:r>
        <w:rPr>
          <w:rFonts w:eastAsia="SimSun"/>
          <w:szCs w:val="22"/>
          <w:lang w:val="en-US" w:eastAsia="fr-BE"/>
        </w:rPr>
        <w:t xml:space="preserve">hen </w:t>
      </w:r>
      <w:r w:rsidR="00B50018">
        <w:rPr>
          <w:rFonts w:eastAsia="SimSun"/>
          <w:szCs w:val="22"/>
          <w:lang w:val="en-US" w:eastAsia="fr-BE"/>
        </w:rPr>
        <w:t>plasma levels of tinidazole</w:t>
      </w:r>
      <w:r>
        <w:rPr>
          <w:rFonts w:eastAsia="SimSun"/>
          <w:szCs w:val="22"/>
          <w:lang w:val="en-US" w:eastAsia="fr-BE"/>
        </w:rPr>
        <w:t xml:space="preserve"> d</w:t>
      </w:r>
      <w:r w:rsidR="00B50018">
        <w:rPr>
          <w:rFonts w:eastAsia="SimSun"/>
          <w:szCs w:val="22"/>
          <w:lang w:val="en-US" w:eastAsia="fr-BE"/>
        </w:rPr>
        <w:t>ecreased</w:t>
      </w:r>
      <w:r w:rsidR="00526092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slowly and tinidazole</w:t>
      </w:r>
      <w:r w:rsidR="00B50018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remains detectable</w:t>
      </w:r>
      <w:r w:rsidR="00B50018">
        <w:rPr>
          <w:rFonts w:eastAsia="SimSun"/>
          <w:szCs w:val="22"/>
          <w:lang w:val="en-US" w:eastAsia="fr-BE"/>
        </w:rPr>
        <w:t xml:space="preserve"> in serum at </w:t>
      </w:r>
      <w:r w:rsidR="00BB68F7">
        <w:rPr>
          <w:rFonts w:eastAsia="SimSun"/>
          <w:szCs w:val="22"/>
          <w:lang w:val="en-US" w:eastAsia="fr-BE"/>
        </w:rPr>
        <w:t>72</w:t>
      </w:r>
      <w:r w:rsidR="00B50018">
        <w:rPr>
          <w:rFonts w:eastAsia="SimSun"/>
          <w:szCs w:val="22"/>
          <w:lang w:val="en-US" w:eastAsia="fr-BE"/>
        </w:rPr>
        <w:t xml:space="preserve"> hours after oral administration. </w:t>
      </w:r>
    </w:p>
    <w:p w14:paraId="0843E6FE" w14:textId="594A5360" w:rsidR="00526092" w:rsidRDefault="00B50018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426"/>
        <w:jc w:val="both"/>
        <w:rPr>
          <w:lang w:val="en-US" w:eastAsia="fr-BE"/>
        </w:rPr>
      </w:pPr>
      <w:r>
        <w:rPr>
          <w:rFonts w:eastAsia="SimSun"/>
          <w:szCs w:val="22"/>
          <w:lang w:val="en-US" w:eastAsia="fr-BE"/>
        </w:rPr>
        <w:t>The peak serum levels following oral administration of a single dose of 2 mg of tinidazole were</w:t>
      </w:r>
      <w:r w:rsidR="00526092">
        <w:rPr>
          <w:rFonts w:eastAsia="SimSun"/>
          <w:szCs w:val="22"/>
          <w:lang w:val="en-US" w:eastAsia="fr-BE"/>
        </w:rPr>
        <w:t xml:space="preserve">: </w:t>
      </w:r>
      <w:r w:rsidR="00526092">
        <w:rPr>
          <w:lang w:val="en-US" w:eastAsia="fr-BE"/>
        </w:rPr>
        <w:t xml:space="preserve">41 ± 5 </w:t>
      </w:r>
      <w:r w:rsidR="00361B97">
        <w:rPr>
          <w:lang w:val="en-US" w:eastAsia="fr-BE"/>
        </w:rPr>
        <w:t>µg</w:t>
      </w:r>
      <w:r w:rsidRPr="00B50018">
        <w:rPr>
          <w:lang w:val="en-US" w:eastAsia="fr-BE"/>
        </w:rPr>
        <w:t>/ml</w:t>
      </w:r>
      <w:r>
        <w:rPr>
          <w:lang w:val="en-US" w:eastAsia="fr-BE"/>
        </w:rPr>
        <w:t xml:space="preserve"> </w:t>
      </w:r>
    </w:p>
    <w:p w14:paraId="30015EA3" w14:textId="68604096" w:rsidR="00B50018" w:rsidRDefault="00B50018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426"/>
        <w:jc w:val="both"/>
        <w:rPr>
          <w:lang w:val="en-US" w:eastAsia="fr-BE"/>
        </w:rPr>
      </w:pPr>
      <w:r>
        <w:rPr>
          <w:lang w:val="en-US" w:eastAsia="fr-BE"/>
        </w:rPr>
        <w:t>at 1 hour,</w:t>
      </w:r>
      <w:r w:rsidRPr="00B50018">
        <w:rPr>
          <w:lang w:val="en-US" w:eastAsia="fr-BE"/>
        </w:rPr>
        <w:t xml:space="preserve"> 46 ± 4 </w:t>
      </w:r>
      <w:r w:rsidR="00361B97">
        <w:rPr>
          <w:lang w:val="en-US" w:eastAsia="fr-BE"/>
        </w:rPr>
        <w:t>µ</w:t>
      </w:r>
      <w:r w:rsidRPr="00B50018">
        <w:rPr>
          <w:lang w:val="en-US" w:eastAsia="fr-BE"/>
        </w:rPr>
        <w:t>g/m</w:t>
      </w:r>
      <w:r w:rsidR="00526092">
        <w:rPr>
          <w:lang w:val="en-US" w:eastAsia="fr-BE"/>
        </w:rPr>
        <w:t>l</w:t>
      </w:r>
      <w:r>
        <w:rPr>
          <w:lang w:val="en-US" w:eastAsia="fr-BE"/>
        </w:rPr>
        <w:t xml:space="preserve"> at 4 hours and </w:t>
      </w:r>
      <w:r w:rsidRPr="00B50018">
        <w:rPr>
          <w:lang w:val="en-US" w:eastAsia="fr-BE"/>
        </w:rPr>
        <w:t xml:space="preserve">19 ± 2 </w:t>
      </w:r>
      <w:r w:rsidR="00361B97">
        <w:rPr>
          <w:lang w:val="en-US" w:eastAsia="fr-BE"/>
        </w:rPr>
        <w:t>µg</w:t>
      </w:r>
      <w:r w:rsidRPr="00B50018">
        <w:rPr>
          <w:lang w:val="en-US" w:eastAsia="fr-BE"/>
        </w:rPr>
        <w:t>/ml</w:t>
      </w:r>
      <w:r>
        <w:rPr>
          <w:lang w:val="en-US" w:eastAsia="fr-BE"/>
        </w:rPr>
        <w:t xml:space="preserve"> </w:t>
      </w:r>
      <w:r w:rsidR="00526092">
        <w:rPr>
          <w:lang w:val="en-US" w:eastAsia="fr-BE"/>
        </w:rPr>
        <w:t xml:space="preserve">at 24 hours. </w:t>
      </w:r>
    </w:p>
    <w:p w14:paraId="6B81033B" w14:textId="3D545571" w:rsidR="00361B97" w:rsidRPr="00361B97" w:rsidRDefault="00361B97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en-US" w:eastAsia="fr-BE"/>
        </w:rPr>
      </w:pPr>
      <w:r>
        <w:rPr>
          <w:lang w:val="en-US" w:eastAsia="fr-BE"/>
        </w:rPr>
        <w:t xml:space="preserve">Administration of tinidazole with a high-fat meal does not alter the AUC, but there was a small reduction in the </w:t>
      </w:r>
      <w:proofErr w:type="spellStart"/>
      <w:r>
        <w:rPr>
          <w:lang w:val="en-US" w:eastAsia="fr-BE"/>
        </w:rPr>
        <w:t>C</w:t>
      </w:r>
      <w:r w:rsidRPr="00394955">
        <w:rPr>
          <w:vertAlign w:val="subscript"/>
          <w:lang w:val="en-US" w:eastAsia="fr-BE"/>
        </w:rPr>
        <w:t>max</w:t>
      </w:r>
      <w:proofErr w:type="spellEnd"/>
      <w:r>
        <w:rPr>
          <w:vertAlign w:val="subscript"/>
          <w:lang w:val="en-US" w:eastAsia="fr-BE"/>
        </w:rPr>
        <w:t xml:space="preserve"> </w:t>
      </w:r>
      <w:r>
        <w:rPr>
          <w:lang w:val="en-US" w:eastAsia="fr-BE"/>
        </w:rPr>
        <w:t>(</w:t>
      </w:r>
      <w:r w:rsidRPr="00EE32E5">
        <w:rPr>
          <w:sz w:val="24"/>
          <w:szCs w:val="24"/>
          <w:lang w:eastAsia="fr-BE"/>
        </w:rPr>
        <w:t>~</w:t>
      </w:r>
      <w:r>
        <w:rPr>
          <w:sz w:val="24"/>
          <w:szCs w:val="24"/>
          <w:lang w:eastAsia="fr-BE"/>
        </w:rPr>
        <w:t xml:space="preserve"> 15</w:t>
      </w:r>
      <w:r>
        <w:rPr>
          <w:lang w:val="en-US" w:eastAsia="fr-BE"/>
        </w:rPr>
        <w:t xml:space="preserve">%) and a prolongation of </w:t>
      </w:r>
      <w:proofErr w:type="spellStart"/>
      <w:r>
        <w:rPr>
          <w:lang w:val="en-US" w:eastAsia="fr-BE"/>
        </w:rPr>
        <w:t>T</w:t>
      </w:r>
      <w:r w:rsidRPr="00394955">
        <w:rPr>
          <w:vertAlign w:val="subscript"/>
          <w:lang w:val="en-US" w:eastAsia="fr-BE"/>
        </w:rPr>
        <w:t>max</w:t>
      </w:r>
      <w:proofErr w:type="spellEnd"/>
      <w:r>
        <w:rPr>
          <w:vertAlign w:val="subscript"/>
          <w:lang w:val="en-US" w:eastAsia="fr-BE"/>
        </w:rPr>
        <w:t xml:space="preserve"> </w:t>
      </w:r>
      <w:r w:rsidR="0027485E">
        <w:rPr>
          <w:lang w:val="en-US" w:eastAsia="fr-BE"/>
        </w:rPr>
        <w:t>from 1.6 to 3.</w:t>
      </w:r>
      <w:r>
        <w:rPr>
          <w:lang w:val="en-US" w:eastAsia="fr-BE"/>
        </w:rPr>
        <w:t>0 hours. After intravenous administration, the pharmacokinetics of tinidazole are linear in the dose range of 400 to 1600 mg.</w:t>
      </w:r>
    </w:p>
    <w:p w14:paraId="79277B8B" w14:textId="77777777" w:rsidR="00361B97" w:rsidRDefault="00361B97" w:rsidP="00361B9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en-US" w:eastAsia="fr-BE"/>
        </w:rPr>
      </w:pPr>
    </w:p>
    <w:p w14:paraId="077A5C3D" w14:textId="7B2AFD59" w:rsidR="00361B97" w:rsidRPr="00394955" w:rsidRDefault="00361B97" w:rsidP="00361B9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u w:val="single"/>
          <w:lang w:val="en-US" w:eastAsia="fr-BE"/>
        </w:rPr>
      </w:pPr>
      <w:r w:rsidRPr="00394955">
        <w:rPr>
          <w:u w:val="single"/>
          <w:lang w:val="en-US" w:eastAsia="fr-BE"/>
        </w:rPr>
        <w:t>Distribution</w:t>
      </w:r>
    </w:p>
    <w:p w14:paraId="1D6E5C5F" w14:textId="77777777" w:rsidR="0027485E" w:rsidRDefault="0027485E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en-US" w:eastAsia="fr-BE"/>
        </w:rPr>
      </w:pPr>
      <w:r w:rsidRPr="0027485E">
        <w:rPr>
          <w:lang w:val="en-US" w:eastAsia="fr-BE"/>
        </w:rPr>
        <w:t>Tinidazole is well distributed into tissues at clinically effective concentrations and effectively cr</w:t>
      </w:r>
      <w:r>
        <w:rPr>
          <w:lang w:val="en-US" w:eastAsia="fr-BE"/>
        </w:rPr>
        <w:t xml:space="preserve">osses the blood-brain barrier. </w:t>
      </w:r>
      <w:r w:rsidRPr="0027485E">
        <w:rPr>
          <w:lang w:val="en-US" w:eastAsia="fr-BE"/>
        </w:rPr>
        <w:t>The apparent volume of distribution is approximately 0.63-0.65 l/kg</w:t>
      </w:r>
      <w:r>
        <w:rPr>
          <w:lang w:val="en-US" w:eastAsia="fr-BE"/>
        </w:rPr>
        <w:t xml:space="preserve"> (~ 50 l). </w:t>
      </w:r>
      <w:r w:rsidR="00526092">
        <w:rPr>
          <w:lang w:val="en-US" w:eastAsia="fr-BE"/>
        </w:rPr>
        <w:t xml:space="preserve">About 12% of plasma tinidazole is bound to plasma proteins. </w:t>
      </w:r>
    </w:p>
    <w:p w14:paraId="5B03D0A4" w14:textId="060A4984" w:rsidR="0027485E" w:rsidRDefault="0027485E" w:rsidP="00361B9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en-US" w:eastAsia="fr-BE"/>
        </w:rPr>
      </w:pPr>
    </w:p>
    <w:p w14:paraId="55C7A1D1" w14:textId="77777777" w:rsidR="00B04ECC" w:rsidRPr="00E9632F" w:rsidRDefault="00B04ECC" w:rsidP="0052609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E9632F">
        <w:rPr>
          <w:rFonts w:eastAsia="SimSun"/>
          <w:szCs w:val="22"/>
          <w:u w:val="single"/>
          <w:lang w:val="en-US" w:eastAsia="fr-BE"/>
        </w:rPr>
        <w:t>Biotransformation</w:t>
      </w:r>
    </w:p>
    <w:p w14:paraId="655CFFEA" w14:textId="18071BC6" w:rsidR="00526092" w:rsidRDefault="0027485E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en-US" w:eastAsia="fr-BE"/>
        </w:rPr>
      </w:pPr>
      <w:r>
        <w:rPr>
          <w:rFonts w:eastAsia="SimSun"/>
          <w:szCs w:val="22"/>
          <w:lang w:val="en-US" w:eastAsia="fr-BE"/>
        </w:rPr>
        <w:t>Most of the a</w:t>
      </w:r>
      <w:r w:rsidRPr="00D127DA">
        <w:rPr>
          <w:rFonts w:eastAsia="SimSun"/>
          <w:szCs w:val="22"/>
          <w:lang w:val="en-US" w:eastAsia="fr-BE"/>
        </w:rPr>
        <w:t>dministered dose</w:t>
      </w:r>
      <w:r>
        <w:rPr>
          <w:rFonts w:eastAsia="SimSun"/>
          <w:szCs w:val="22"/>
          <w:lang w:val="en-US" w:eastAsia="fr-BE"/>
        </w:rPr>
        <w:t xml:space="preserve"> of</w:t>
      </w:r>
      <w:r w:rsidRPr="00D127DA">
        <w:rPr>
          <w:rFonts w:eastAsia="SimSun"/>
          <w:szCs w:val="22"/>
          <w:lang w:val="en-US" w:eastAsia="fr-BE"/>
        </w:rPr>
        <w:t xml:space="preserve"> </w:t>
      </w:r>
      <w:r>
        <w:rPr>
          <w:rFonts w:eastAsia="SimSun"/>
          <w:szCs w:val="22"/>
          <w:lang w:val="en-US" w:eastAsia="fr-BE"/>
        </w:rPr>
        <w:t>tinidazole is</w:t>
      </w:r>
      <w:r w:rsidRPr="0027485E">
        <w:rPr>
          <w:rFonts w:eastAsia="SimSun"/>
          <w:szCs w:val="22"/>
          <w:lang w:val="en-US" w:eastAsia="fr-BE"/>
        </w:rPr>
        <w:t xml:space="preserve"> eliminated </w:t>
      </w:r>
      <w:r>
        <w:rPr>
          <w:rFonts w:eastAsia="SimSun"/>
          <w:szCs w:val="22"/>
          <w:lang w:val="en-US" w:eastAsia="fr-BE"/>
        </w:rPr>
        <w:t xml:space="preserve">by hepatic metabolism (&gt; 40%). </w:t>
      </w:r>
      <w:r w:rsidRPr="0027485E">
        <w:rPr>
          <w:rFonts w:eastAsia="SimSun"/>
          <w:szCs w:val="22"/>
          <w:lang w:val="en-US" w:eastAsia="fr-BE"/>
        </w:rPr>
        <w:t>In vitro studies using human liver microsomes have shown that tinidazole metabolism is primarily mediated by CYP3A4 wi</w:t>
      </w:r>
      <w:r>
        <w:rPr>
          <w:rFonts w:eastAsia="SimSun"/>
          <w:szCs w:val="22"/>
          <w:lang w:val="en-US" w:eastAsia="fr-BE"/>
        </w:rPr>
        <w:t xml:space="preserve">th minor metabolism by CYP2B6. </w:t>
      </w:r>
      <w:r w:rsidRPr="0027485E">
        <w:rPr>
          <w:rFonts w:eastAsia="SimSun"/>
          <w:szCs w:val="22"/>
          <w:lang w:val="en-US" w:eastAsia="fr-BE"/>
        </w:rPr>
        <w:t xml:space="preserve">After intravenous administration, tinidazole is the major substance in plasma and only minor traces of the 2-hydroxymethyl metabolite are detected. </w:t>
      </w:r>
    </w:p>
    <w:p w14:paraId="1835B923" w14:textId="77777777" w:rsidR="0027485E" w:rsidRDefault="0027485E" w:rsidP="007F66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</w:p>
    <w:p w14:paraId="3BD297AA" w14:textId="63C137B2" w:rsidR="00B04ECC" w:rsidRDefault="00B04ECC" w:rsidP="007F66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E9632F">
        <w:rPr>
          <w:rFonts w:eastAsia="SimSun"/>
          <w:szCs w:val="22"/>
          <w:u w:val="single"/>
          <w:lang w:val="en-US" w:eastAsia="fr-BE"/>
        </w:rPr>
        <w:t>Elimination</w:t>
      </w:r>
    </w:p>
    <w:p w14:paraId="4D83D375" w14:textId="06828D6C" w:rsidR="0027485E" w:rsidRDefault="0027485E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D127DA">
        <w:rPr>
          <w:rFonts w:eastAsia="SimSun"/>
          <w:szCs w:val="22"/>
          <w:lang w:val="en-US" w:eastAsia="fr-BE"/>
        </w:rPr>
        <w:t xml:space="preserve">20-25% of the administered dose </w:t>
      </w:r>
      <w:r>
        <w:rPr>
          <w:rFonts w:eastAsia="SimSun"/>
          <w:szCs w:val="22"/>
          <w:lang w:val="en-US" w:eastAsia="fr-BE"/>
        </w:rPr>
        <w:t xml:space="preserve">of tinidazole is </w:t>
      </w:r>
      <w:r w:rsidRPr="00D127DA">
        <w:rPr>
          <w:rFonts w:eastAsia="SimSun"/>
          <w:szCs w:val="22"/>
          <w:lang w:val="en-US" w:eastAsia="fr-BE"/>
        </w:rPr>
        <w:t xml:space="preserve">excreted </w:t>
      </w:r>
      <w:r>
        <w:rPr>
          <w:rFonts w:eastAsia="SimSun"/>
          <w:szCs w:val="22"/>
          <w:lang w:val="en-US" w:eastAsia="fr-BE"/>
        </w:rPr>
        <w:t xml:space="preserve">by the kidneys </w:t>
      </w:r>
      <w:r w:rsidRPr="00D127DA">
        <w:rPr>
          <w:rFonts w:eastAsia="SimSun"/>
          <w:szCs w:val="22"/>
          <w:lang w:val="en-US" w:eastAsia="fr-BE"/>
        </w:rPr>
        <w:t>as unchanged tinidazole</w:t>
      </w:r>
      <w:r>
        <w:rPr>
          <w:rFonts w:eastAsia="SimSun"/>
          <w:szCs w:val="22"/>
          <w:lang w:val="en-US" w:eastAsia="fr-BE"/>
        </w:rPr>
        <w:t>, and about 12% as metabolites</w:t>
      </w:r>
      <w:r w:rsidRPr="00D127DA">
        <w:rPr>
          <w:rFonts w:eastAsia="SimSun"/>
          <w:szCs w:val="22"/>
          <w:lang w:val="en-US" w:eastAsia="fr-BE"/>
        </w:rPr>
        <w:t>.</w:t>
      </w:r>
      <w:r>
        <w:rPr>
          <w:rFonts w:eastAsia="SimSun"/>
          <w:szCs w:val="22"/>
          <w:lang w:val="en-US" w:eastAsia="fr-BE"/>
        </w:rPr>
        <w:t xml:space="preserve"> </w:t>
      </w:r>
      <w:r w:rsidRPr="00D127DA">
        <w:rPr>
          <w:rFonts w:eastAsia="SimSun"/>
          <w:szCs w:val="22"/>
          <w:lang w:val="en-US" w:eastAsia="fr-BE"/>
        </w:rPr>
        <w:t>Up to 5% of the administered dose is excreted in the feces</w:t>
      </w:r>
      <w:r>
        <w:rPr>
          <w:rFonts w:eastAsia="SimSun"/>
          <w:szCs w:val="22"/>
          <w:lang w:val="en-US" w:eastAsia="fr-BE"/>
        </w:rPr>
        <w:t xml:space="preserve">. The plasmatic half-life of tinidazole is approximately 12.7 ± 0.5 hours. </w:t>
      </w:r>
    </w:p>
    <w:p w14:paraId="234961A4" w14:textId="77777777" w:rsidR="0027485E" w:rsidRDefault="0027485E" w:rsidP="007F66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337957B2" w14:textId="55E40ECC" w:rsidR="00BA51E3" w:rsidRPr="00876BBC" w:rsidRDefault="00BA51E3" w:rsidP="00BA51E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876BBC">
        <w:rPr>
          <w:rFonts w:eastAsia="SimSun"/>
          <w:szCs w:val="22"/>
          <w:u w:val="single"/>
          <w:lang w:val="en-US" w:eastAsia="fr-BE"/>
        </w:rPr>
        <w:t xml:space="preserve">Patients with </w:t>
      </w:r>
      <w:r>
        <w:rPr>
          <w:rFonts w:eastAsia="SimSun"/>
          <w:szCs w:val="22"/>
          <w:u w:val="single"/>
          <w:lang w:val="en-US" w:eastAsia="fr-BE"/>
        </w:rPr>
        <w:t>liver impair</w:t>
      </w:r>
      <w:r w:rsidRPr="00876BBC">
        <w:rPr>
          <w:rFonts w:eastAsia="SimSun"/>
          <w:szCs w:val="22"/>
          <w:u w:val="single"/>
          <w:lang w:val="en-US" w:eastAsia="fr-BE"/>
        </w:rPr>
        <w:t>ment:</w:t>
      </w:r>
    </w:p>
    <w:p w14:paraId="7B5EAC96" w14:textId="3E443434" w:rsidR="00BA51E3" w:rsidRDefault="00BA51E3" w:rsidP="0039495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SimSun"/>
          <w:szCs w:val="22"/>
          <w:lang w:val="en-US" w:eastAsia="fr-BE"/>
        </w:rPr>
      </w:pPr>
      <w:r w:rsidRPr="00BA51E3">
        <w:rPr>
          <w:rFonts w:eastAsia="SimSun"/>
          <w:szCs w:val="22"/>
          <w:lang w:val="en-US" w:eastAsia="fr-BE"/>
        </w:rPr>
        <w:t>The pharmacokinetics of tinidazole have not been studied in pat</w:t>
      </w:r>
      <w:r>
        <w:rPr>
          <w:rFonts w:eastAsia="SimSun"/>
          <w:szCs w:val="22"/>
          <w:lang w:val="en-US" w:eastAsia="fr-BE"/>
        </w:rPr>
        <w:t xml:space="preserve">ients with hepatic impairment. </w:t>
      </w:r>
      <w:r w:rsidRPr="00BA51E3">
        <w:rPr>
          <w:rFonts w:eastAsia="SimSun"/>
          <w:szCs w:val="22"/>
          <w:lang w:val="en-US" w:eastAsia="fr-BE"/>
        </w:rPr>
        <w:t>It is known that a significant amount of the tinidazole dose is eli</w:t>
      </w:r>
      <w:r>
        <w:rPr>
          <w:rFonts w:eastAsia="SimSun"/>
          <w:szCs w:val="22"/>
          <w:lang w:val="en-US" w:eastAsia="fr-BE"/>
        </w:rPr>
        <w:t xml:space="preserve">minated by hepatic metabolism. </w:t>
      </w:r>
      <w:r w:rsidRPr="00BA51E3">
        <w:rPr>
          <w:rFonts w:eastAsia="SimSun"/>
          <w:szCs w:val="22"/>
          <w:lang w:val="en-US" w:eastAsia="fr-BE"/>
        </w:rPr>
        <w:t>Therefore, caution is recommended when treating patients with hepatic impairment, especially when the drug is administered for a longer period of time (&gt;5 days) (see section 4.2).</w:t>
      </w:r>
    </w:p>
    <w:p w14:paraId="123AA133" w14:textId="77777777" w:rsidR="00B04ECC" w:rsidRDefault="00B04ECC" w:rsidP="007F66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</w:p>
    <w:p w14:paraId="5AB6C78E" w14:textId="4209D533" w:rsidR="0027485E" w:rsidRPr="00394955" w:rsidRDefault="0027485E" w:rsidP="007F66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u w:val="single"/>
          <w:lang w:val="en-US" w:eastAsia="fr-BE"/>
        </w:rPr>
      </w:pPr>
      <w:r w:rsidRPr="00394955">
        <w:rPr>
          <w:rFonts w:eastAsia="SimSun"/>
          <w:szCs w:val="22"/>
          <w:u w:val="single"/>
          <w:lang w:val="en-US" w:eastAsia="fr-BE"/>
        </w:rPr>
        <w:t>P</w:t>
      </w:r>
      <w:r w:rsidR="00BA51E3" w:rsidRPr="00BA51E3">
        <w:rPr>
          <w:rFonts w:eastAsia="SimSun"/>
          <w:szCs w:val="22"/>
          <w:u w:val="single"/>
          <w:lang w:val="en-US" w:eastAsia="fr-BE"/>
        </w:rPr>
        <w:t>atients with renal impair</w:t>
      </w:r>
      <w:r w:rsidRPr="00394955">
        <w:rPr>
          <w:rFonts w:eastAsia="SimSun"/>
          <w:szCs w:val="22"/>
          <w:u w:val="single"/>
          <w:lang w:val="en-US" w:eastAsia="fr-BE"/>
        </w:rPr>
        <w:t>ment:</w:t>
      </w:r>
    </w:p>
    <w:p w14:paraId="6E46DFA4" w14:textId="3288FF5C" w:rsidR="007F666B" w:rsidRPr="00D127DA" w:rsidRDefault="0027485E" w:rsidP="007F66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  <w:lang w:val="en-US" w:eastAsia="fr-BE"/>
        </w:rPr>
      </w:pPr>
      <w:r>
        <w:rPr>
          <w:rFonts w:eastAsia="SimSun"/>
          <w:szCs w:val="22"/>
          <w:lang w:val="en-US" w:eastAsia="fr-BE"/>
        </w:rPr>
        <w:t>Moderate to severe</w:t>
      </w:r>
      <w:r w:rsidR="007F666B">
        <w:rPr>
          <w:rFonts w:eastAsia="SimSun"/>
          <w:szCs w:val="22"/>
          <w:lang w:val="en-US" w:eastAsia="fr-BE"/>
        </w:rPr>
        <w:t xml:space="preserve"> renal failure</w:t>
      </w:r>
      <w:r w:rsidR="007F666B" w:rsidRPr="00D127DA">
        <w:rPr>
          <w:rFonts w:eastAsia="SimSun"/>
          <w:szCs w:val="22"/>
          <w:lang w:val="en-US" w:eastAsia="fr-BE"/>
        </w:rPr>
        <w:t xml:space="preserve"> </w:t>
      </w:r>
      <w:r w:rsidR="00BA51E3">
        <w:rPr>
          <w:rFonts w:eastAsia="SimSun"/>
          <w:szCs w:val="22"/>
          <w:lang w:val="en-US" w:eastAsia="fr-BE"/>
        </w:rPr>
        <w:t>does not</w:t>
      </w:r>
      <w:r w:rsidR="007F666B" w:rsidRPr="00D127DA">
        <w:rPr>
          <w:rFonts w:eastAsia="SimSun"/>
          <w:szCs w:val="22"/>
          <w:lang w:val="en-US" w:eastAsia="fr-BE"/>
        </w:rPr>
        <w:t xml:space="preserve"> significant</w:t>
      </w:r>
      <w:r w:rsidR="00BA51E3">
        <w:rPr>
          <w:rFonts w:eastAsia="SimSun"/>
          <w:szCs w:val="22"/>
          <w:lang w:val="en-US" w:eastAsia="fr-BE"/>
        </w:rPr>
        <w:t>ly</w:t>
      </w:r>
      <w:r w:rsidR="007F666B" w:rsidRPr="00D127DA">
        <w:rPr>
          <w:rFonts w:eastAsia="SimSun"/>
          <w:szCs w:val="22"/>
          <w:lang w:val="en-US" w:eastAsia="fr-BE"/>
        </w:rPr>
        <w:t xml:space="preserve"> change</w:t>
      </w:r>
      <w:r w:rsidR="00BA51E3" w:rsidRPr="00BA51E3">
        <w:rPr>
          <w:rFonts w:eastAsia="SimSun"/>
          <w:szCs w:val="22"/>
          <w:lang w:val="en-US" w:eastAsia="fr-BE"/>
        </w:rPr>
        <w:t xml:space="preserve"> </w:t>
      </w:r>
      <w:r w:rsidR="00BA51E3" w:rsidRPr="00D127DA">
        <w:rPr>
          <w:rFonts w:eastAsia="SimSun"/>
          <w:szCs w:val="22"/>
          <w:lang w:val="en-US" w:eastAsia="fr-BE"/>
        </w:rPr>
        <w:t>tinidazole pharmacokinetic</w:t>
      </w:r>
      <w:r w:rsidR="00BA51E3">
        <w:rPr>
          <w:rFonts w:eastAsia="SimSun"/>
          <w:szCs w:val="22"/>
          <w:lang w:val="en-US" w:eastAsia="fr-BE"/>
        </w:rPr>
        <w:t>s</w:t>
      </w:r>
      <w:r w:rsidR="00394955">
        <w:rPr>
          <w:rFonts w:eastAsia="SimSun"/>
          <w:szCs w:val="22"/>
          <w:lang w:val="en-US" w:eastAsia="fr-BE"/>
        </w:rPr>
        <w:t xml:space="preserve"> </w:t>
      </w:r>
      <w:r w:rsidR="007F666B" w:rsidRPr="00D127DA">
        <w:rPr>
          <w:rFonts w:eastAsia="SimSun"/>
          <w:szCs w:val="22"/>
          <w:lang w:val="en-US" w:eastAsia="fr-BE"/>
        </w:rPr>
        <w:t>(</w:t>
      </w:r>
      <w:r w:rsidR="008B58DE" w:rsidRPr="00A67D54">
        <w:rPr>
          <w:rFonts w:eastAsia="SimSun"/>
          <w:szCs w:val="22"/>
          <w:lang w:val="en-US" w:eastAsia="fr-BE"/>
        </w:rPr>
        <w:t>see section 4.2</w:t>
      </w:r>
      <w:r w:rsidR="007F666B" w:rsidRPr="00D127DA">
        <w:rPr>
          <w:rFonts w:eastAsia="SimSun"/>
          <w:szCs w:val="22"/>
          <w:lang w:val="en-US" w:eastAsia="fr-BE"/>
        </w:rPr>
        <w:t>).</w:t>
      </w:r>
    </w:p>
    <w:p w14:paraId="40147F7E" w14:textId="1F1B8119" w:rsidR="00BA51E3" w:rsidRDefault="00BA51E3" w:rsidP="006B4557">
      <w:pPr>
        <w:rPr>
          <w:noProof/>
          <w:szCs w:val="22"/>
        </w:rPr>
      </w:pPr>
    </w:p>
    <w:p w14:paraId="7D3456BF" w14:textId="77777777" w:rsidR="0015782D" w:rsidRDefault="0015782D" w:rsidP="006B4557">
      <w:pPr>
        <w:rPr>
          <w:noProof/>
          <w:szCs w:val="22"/>
        </w:rPr>
      </w:pPr>
    </w:p>
    <w:p w14:paraId="1839A9FB" w14:textId="3C44F89C" w:rsidR="00BA51E3" w:rsidRPr="00F174D7" w:rsidRDefault="00BA51E3" w:rsidP="00BA51E3">
      <w:pPr>
        <w:ind w:left="567" w:hanging="567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lastRenderedPageBreak/>
        <w:t>5.3</w:t>
      </w:r>
      <w:r w:rsidRPr="00F174D7">
        <w:rPr>
          <w:b/>
          <w:noProof/>
          <w:szCs w:val="22"/>
        </w:rPr>
        <w:tab/>
        <w:t>P</w:t>
      </w:r>
      <w:r>
        <w:rPr>
          <w:b/>
          <w:noProof/>
          <w:szCs w:val="22"/>
        </w:rPr>
        <w:t>reclinical safety data</w:t>
      </w:r>
    </w:p>
    <w:p w14:paraId="4DCEA3AF" w14:textId="46964435" w:rsidR="00BA51E3" w:rsidRPr="00394955" w:rsidRDefault="006E5073" w:rsidP="006B4557">
      <w:pPr>
        <w:rPr>
          <w:noProof/>
          <w:szCs w:val="22"/>
          <w:u w:val="single"/>
        </w:rPr>
      </w:pPr>
      <w:r w:rsidRPr="00394955">
        <w:rPr>
          <w:noProof/>
          <w:szCs w:val="22"/>
          <w:u w:val="single"/>
        </w:rPr>
        <w:t>Repeat dose toxicity:</w:t>
      </w:r>
    </w:p>
    <w:p w14:paraId="319E5B90" w14:textId="16BB88E7" w:rsidR="006E5073" w:rsidRPr="006E5073" w:rsidRDefault="006E5073" w:rsidP="00394955">
      <w:pPr>
        <w:jc w:val="both"/>
        <w:rPr>
          <w:noProof/>
          <w:szCs w:val="22"/>
        </w:rPr>
      </w:pPr>
      <w:r w:rsidRPr="006E5073">
        <w:rPr>
          <w:noProof/>
          <w:szCs w:val="22"/>
        </w:rPr>
        <w:t xml:space="preserve">A repeat-dose toxicology study was conducted in Beagle dogs </w:t>
      </w:r>
      <w:r>
        <w:rPr>
          <w:noProof/>
          <w:szCs w:val="22"/>
        </w:rPr>
        <w:t xml:space="preserve">with </w:t>
      </w:r>
      <w:r w:rsidRPr="006E5073">
        <w:rPr>
          <w:noProof/>
          <w:szCs w:val="22"/>
        </w:rPr>
        <w:t xml:space="preserve">tinidazole </w:t>
      </w:r>
      <w:r>
        <w:rPr>
          <w:noProof/>
          <w:szCs w:val="22"/>
        </w:rPr>
        <w:t xml:space="preserve">oral dose </w:t>
      </w:r>
      <w:r w:rsidRPr="006E5073">
        <w:rPr>
          <w:noProof/>
          <w:szCs w:val="22"/>
        </w:rPr>
        <w:t xml:space="preserve">at 100 mg/kg/day, 300 </w:t>
      </w:r>
      <w:r>
        <w:rPr>
          <w:noProof/>
          <w:szCs w:val="22"/>
        </w:rPr>
        <w:t xml:space="preserve">mg/kg/day and 1000 mg/kg/day during 28 days. </w:t>
      </w:r>
      <w:r w:rsidRPr="006E5073">
        <w:rPr>
          <w:noProof/>
          <w:szCs w:val="22"/>
        </w:rPr>
        <w:t>On day 18 of the study, the highest dose was reduced to 600 mg/kg/day</w:t>
      </w:r>
      <w:r>
        <w:rPr>
          <w:noProof/>
          <w:szCs w:val="22"/>
        </w:rPr>
        <w:t xml:space="preserve"> due to severe clinical signs. </w:t>
      </w:r>
      <w:r w:rsidRPr="006E5073">
        <w:rPr>
          <w:noProof/>
          <w:szCs w:val="22"/>
        </w:rPr>
        <w:t>The two component-related effects observed in tinidazole-treated dogs were: increased thymus athrophy in both sexes at intermediate and high doses and prostate atrophy at all doses in male</w:t>
      </w:r>
      <w:r>
        <w:rPr>
          <w:noProof/>
          <w:szCs w:val="22"/>
        </w:rPr>
        <w:t>s.</w:t>
      </w:r>
      <w:r w:rsidR="0070365C">
        <w:rPr>
          <w:noProof/>
          <w:szCs w:val="22"/>
        </w:rPr>
        <w:t xml:space="preserve"> A No</w:t>
      </w:r>
      <w:r w:rsidR="00CC0F48">
        <w:rPr>
          <w:noProof/>
          <w:szCs w:val="22"/>
        </w:rPr>
        <w:t>n</w:t>
      </w:r>
      <w:r w:rsidR="0070365C">
        <w:rPr>
          <w:noProof/>
          <w:szCs w:val="22"/>
        </w:rPr>
        <w:t xml:space="preserve"> Observ</w:t>
      </w:r>
      <w:r w:rsidR="00CC0F48">
        <w:rPr>
          <w:noProof/>
          <w:szCs w:val="22"/>
        </w:rPr>
        <w:t>ed</w:t>
      </w:r>
      <w:r w:rsidR="0070365C">
        <w:rPr>
          <w:noProof/>
          <w:szCs w:val="22"/>
        </w:rPr>
        <w:t xml:space="preserve"> </w:t>
      </w:r>
      <w:r w:rsidR="00CC0F48">
        <w:rPr>
          <w:noProof/>
          <w:szCs w:val="22"/>
        </w:rPr>
        <w:t>Adverse</w:t>
      </w:r>
      <w:r w:rsidR="0070365C">
        <w:rPr>
          <w:noProof/>
          <w:szCs w:val="22"/>
        </w:rPr>
        <w:t xml:space="preserve"> Effect L</w:t>
      </w:r>
      <w:r w:rsidRPr="006E5073">
        <w:rPr>
          <w:noProof/>
          <w:szCs w:val="22"/>
        </w:rPr>
        <w:t>evel (NOAEL) of 100 mg/kg/</w:t>
      </w:r>
      <w:r>
        <w:rPr>
          <w:noProof/>
          <w:szCs w:val="22"/>
        </w:rPr>
        <w:t xml:space="preserve">day was determined in females. </w:t>
      </w:r>
      <w:r w:rsidRPr="006E5073">
        <w:rPr>
          <w:noProof/>
          <w:szCs w:val="22"/>
        </w:rPr>
        <w:t>No NOAEL was identified for males due to minimal prostate atrophy at 100 mg/kg/day (approximately 0.9 times the highest human dose based on plasma AUC comparisons).</w:t>
      </w:r>
    </w:p>
    <w:p w14:paraId="232B798F" w14:textId="77777777" w:rsidR="006E5073" w:rsidRPr="006E5073" w:rsidRDefault="006E5073" w:rsidP="006E5073">
      <w:pPr>
        <w:rPr>
          <w:noProof/>
          <w:szCs w:val="22"/>
        </w:rPr>
      </w:pPr>
    </w:p>
    <w:p w14:paraId="71FA7EF7" w14:textId="4B1C14E3" w:rsidR="006E5073" w:rsidRPr="00394955" w:rsidRDefault="006E5073" w:rsidP="006B4557">
      <w:pPr>
        <w:rPr>
          <w:noProof/>
          <w:szCs w:val="22"/>
          <w:u w:val="single"/>
        </w:rPr>
      </w:pPr>
      <w:r w:rsidRPr="00394955">
        <w:rPr>
          <w:noProof/>
          <w:szCs w:val="22"/>
          <w:u w:val="single"/>
        </w:rPr>
        <w:t>Mutagenicity/ carcinogenicity</w:t>
      </w:r>
      <w:r w:rsidR="00D0522E" w:rsidRPr="00394955">
        <w:rPr>
          <w:noProof/>
          <w:szCs w:val="22"/>
          <w:u w:val="single"/>
        </w:rPr>
        <w:t>:</w:t>
      </w:r>
    </w:p>
    <w:p w14:paraId="2ECBE46D" w14:textId="03F16AEF" w:rsidR="00A2246F" w:rsidRPr="00A2246F" w:rsidRDefault="00A2246F" w:rsidP="00394955">
      <w:pPr>
        <w:jc w:val="both"/>
        <w:rPr>
          <w:noProof/>
          <w:szCs w:val="22"/>
        </w:rPr>
      </w:pPr>
      <w:r w:rsidRPr="00A2246F">
        <w:rPr>
          <w:noProof/>
          <w:szCs w:val="22"/>
        </w:rPr>
        <w:t>Tinidazole has shown some e</w:t>
      </w:r>
      <w:r>
        <w:rPr>
          <w:noProof/>
          <w:szCs w:val="22"/>
        </w:rPr>
        <w:t>vidence of mutagenic potential.</w:t>
      </w:r>
      <w:r w:rsidRPr="00A2246F">
        <w:rPr>
          <w:noProof/>
          <w:szCs w:val="22"/>
        </w:rPr>
        <w:t xml:space="preserve"> In an in vitro mutagenicity assay, tinidazole was mutagenic in some bacterial strains</w:t>
      </w:r>
      <w:r w:rsidR="00847EF1">
        <w:rPr>
          <w:noProof/>
          <w:szCs w:val="22"/>
        </w:rPr>
        <w:t>, even ones</w:t>
      </w:r>
      <w:r w:rsidRPr="00A2246F">
        <w:rPr>
          <w:noProof/>
          <w:szCs w:val="22"/>
        </w:rPr>
        <w:t xml:space="preserve"> without meta</w:t>
      </w:r>
      <w:r>
        <w:rPr>
          <w:noProof/>
          <w:szCs w:val="22"/>
        </w:rPr>
        <w:t xml:space="preserve">bolic activation systems. </w:t>
      </w:r>
      <w:r w:rsidRPr="00A2246F">
        <w:rPr>
          <w:noProof/>
          <w:szCs w:val="22"/>
        </w:rPr>
        <w:t xml:space="preserve">Tinidazole was negative for mutagenicity in mammalian cell cultures using Chinese hamster V79 lung cells (HGPRT assay system) and was negative for </w:t>
      </w:r>
      <w:r w:rsidR="00847EF1">
        <w:rPr>
          <w:noProof/>
          <w:szCs w:val="22"/>
        </w:rPr>
        <w:t xml:space="preserve">the </w:t>
      </w:r>
      <w:r w:rsidRPr="00A2246F">
        <w:rPr>
          <w:noProof/>
          <w:szCs w:val="22"/>
        </w:rPr>
        <w:t xml:space="preserve">genotoxicity </w:t>
      </w:r>
      <w:r w:rsidR="00847EF1" w:rsidRPr="00A2246F">
        <w:rPr>
          <w:noProof/>
          <w:szCs w:val="22"/>
        </w:rPr>
        <w:t>ass</w:t>
      </w:r>
      <w:r w:rsidR="00847EF1">
        <w:rPr>
          <w:noProof/>
          <w:szCs w:val="22"/>
        </w:rPr>
        <w:t xml:space="preserve">ay of </w:t>
      </w:r>
      <w:r w:rsidR="00847EF1" w:rsidRPr="00A2246F">
        <w:rPr>
          <w:noProof/>
          <w:szCs w:val="22"/>
        </w:rPr>
        <w:t xml:space="preserve">sister chromatid exchange </w:t>
      </w:r>
      <w:r w:rsidR="00847EF1">
        <w:rPr>
          <w:noProof/>
          <w:szCs w:val="22"/>
        </w:rPr>
        <w:t>in</w:t>
      </w:r>
      <w:r w:rsidRPr="00A2246F">
        <w:rPr>
          <w:noProof/>
          <w:szCs w:val="22"/>
        </w:rPr>
        <w:t xml:space="preserve"> Chinese hamster ovary (CHO) cell</w:t>
      </w:r>
      <w:r w:rsidR="00847EF1">
        <w:rPr>
          <w:noProof/>
          <w:szCs w:val="22"/>
        </w:rPr>
        <w:t>s</w:t>
      </w:r>
      <w:r w:rsidRPr="00A2246F">
        <w:rPr>
          <w:noProof/>
          <w:szCs w:val="22"/>
        </w:rPr>
        <w:t xml:space="preserve"> Tinidazole was positive for genotoxicity in vivo i</w:t>
      </w:r>
      <w:r w:rsidR="00847EF1">
        <w:rPr>
          <w:noProof/>
          <w:szCs w:val="22"/>
        </w:rPr>
        <w:t xml:space="preserve">n the mouse micronucleus test. </w:t>
      </w:r>
      <w:r w:rsidRPr="00A2246F">
        <w:rPr>
          <w:noProof/>
          <w:szCs w:val="22"/>
        </w:rPr>
        <w:t>No carcinogenicity studies of tinidazole in rats, mice o</w:t>
      </w:r>
      <w:r w:rsidR="00847EF1">
        <w:rPr>
          <w:noProof/>
          <w:szCs w:val="22"/>
        </w:rPr>
        <w:t>r hamsters have been reported. However, metronidazole</w:t>
      </w:r>
      <w:r w:rsidRPr="00A2246F">
        <w:rPr>
          <w:noProof/>
          <w:szCs w:val="22"/>
        </w:rPr>
        <w:t xml:space="preserve"> </w:t>
      </w:r>
      <w:r w:rsidR="00847EF1">
        <w:rPr>
          <w:noProof/>
          <w:szCs w:val="22"/>
        </w:rPr>
        <w:t>(</w:t>
      </w:r>
      <w:r w:rsidR="00847EF1" w:rsidRPr="004940B3">
        <w:rPr>
          <w:rFonts w:eastAsia="SimSun"/>
          <w:szCs w:val="22"/>
          <w:lang w:val="en-US" w:eastAsia="fr-BE"/>
        </w:rPr>
        <w:t>an</w:t>
      </w:r>
      <w:r w:rsidR="00847EF1" w:rsidRPr="00876BBC">
        <w:rPr>
          <w:noProof/>
          <w:szCs w:val="22"/>
          <w:lang w:eastAsia="fr-FR"/>
        </w:rPr>
        <w:t>other 5-nitroimidazole derivatives</w:t>
      </w:r>
      <w:r w:rsidR="001D0090">
        <w:rPr>
          <w:noProof/>
          <w:szCs w:val="22"/>
          <w:lang w:eastAsia="fr-FR"/>
        </w:rPr>
        <w:t>)</w:t>
      </w:r>
      <w:r w:rsidRPr="00A2246F">
        <w:rPr>
          <w:noProof/>
          <w:szCs w:val="22"/>
        </w:rPr>
        <w:t>, has been shown to be carcinogenic in mice a</w:t>
      </w:r>
      <w:r w:rsidR="001D0090">
        <w:rPr>
          <w:noProof/>
          <w:szCs w:val="22"/>
        </w:rPr>
        <w:t xml:space="preserve">nd rats, but not in hamsters. </w:t>
      </w:r>
      <w:r w:rsidRPr="00A2246F">
        <w:rPr>
          <w:noProof/>
          <w:szCs w:val="22"/>
        </w:rPr>
        <w:t>In several studies, metronidazole showed evidence of pulmonary, hepatic and lymphatic oncogenesis in mice and mammary and liver tumours in rats.</w:t>
      </w:r>
    </w:p>
    <w:p w14:paraId="6152D2C1" w14:textId="77777777" w:rsidR="001D0090" w:rsidRDefault="001D0090" w:rsidP="006B4557">
      <w:pPr>
        <w:rPr>
          <w:noProof/>
          <w:szCs w:val="22"/>
        </w:rPr>
      </w:pPr>
    </w:p>
    <w:p w14:paraId="5AE2BFCE" w14:textId="5394E5BD" w:rsidR="006E5073" w:rsidRPr="00394955" w:rsidRDefault="006E5073" w:rsidP="006B4557">
      <w:pPr>
        <w:rPr>
          <w:noProof/>
          <w:szCs w:val="22"/>
          <w:u w:val="single"/>
        </w:rPr>
      </w:pPr>
      <w:r w:rsidRPr="00394955">
        <w:rPr>
          <w:noProof/>
          <w:szCs w:val="22"/>
          <w:u w:val="single"/>
        </w:rPr>
        <w:t>Reproductive toxicity</w:t>
      </w:r>
    </w:p>
    <w:p w14:paraId="36110FF7" w14:textId="6C69EDF1" w:rsidR="00992338" w:rsidRPr="00992338" w:rsidRDefault="00992338" w:rsidP="00394955">
      <w:pPr>
        <w:jc w:val="both"/>
        <w:rPr>
          <w:noProof/>
          <w:szCs w:val="22"/>
        </w:rPr>
      </w:pPr>
      <w:r w:rsidRPr="00992338">
        <w:rPr>
          <w:noProof/>
          <w:szCs w:val="22"/>
        </w:rPr>
        <w:t xml:space="preserve">Tinidazole did not cause </w:t>
      </w:r>
      <w:r>
        <w:rPr>
          <w:noProof/>
          <w:szCs w:val="22"/>
        </w:rPr>
        <w:t xml:space="preserve">malformations in mice or rats. </w:t>
      </w:r>
      <w:r w:rsidRPr="00992338">
        <w:rPr>
          <w:noProof/>
          <w:szCs w:val="22"/>
        </w:rPr>
        <w:t>An embryo-fetal developmental toxicity study in pregnant mice showed no embryo-fetal toxicity at</w:t>
      </w:r>
      <w:r>
        <w:rPr>
          <w:noProof/>
          <w:szCs w:val="22"/>
        </w:rPr>
        <w:t xml:space="preserve"> the highest dose of 2500 mg/kg</w:t>
      </w:r>
      <w:r w:rsidRPr="00992338">
        <w:rPr>
          <w:noProof/>
          <w:szCs w:val="22"/>
        </w:rPr>
        <w:t xml:space="preserve"> (approximately 6.3 times the highest human therapeutic dose based on b</w:t>
      </w:r>
      <w:r>
        <w:rPr>
          <w:noProof/>
          <w:szCs w:val="22"/>
        </w:rPr>
        <w:t xml:space="preserve">ody surface area conversions). </w:t>
      </w:r>
      <w:r w:rsidRPr="00992338">
        <w:rPr>
          <w:noProof/>
          <w:szCs w:val="22"/>
        </w:rPr>
        <w:t>In an embryo-fetal developmental toxicity study in pregnant rats, decreased embryo-fetal viability was observed at 500 and 2000 mg/kg/day and growth retardation (decreased fetal weight and increased skeletal variations) was observed at 500 mg/kg/</w:t>
      </w:r>
      <w:r w:rsidR="0070365C">
        <w:rPr>
          <w:noProof/>
          <w:szCs w:val="22"/>
        </w:rPr>
        <w:t xml:space="preserve">day (2.5 times the body dose). </w:t>
      </w:r>
      <w:r w:rsidRPr="00992338">
        <w:rPr>
          <w:noProof/>
          <w:szCs w:val="22"/>
        </w:rPr>
        <w:t>In a developmental toxicity study in pregnant rats given tinidazole from day 1 to day 21 of gestation and allowed to deliver and rear their offspring, a higher incidence of fetal mortality was observed at doses of 600 mg/kg; the NOAEL for developmental toxicity was established at 300 mg/kg.</w:t>
      </w:r>
    </w:p>
    <w:p w14:paraId="479E3898" w14:textId="77777777" w:rsidR="00992338" w:rsidRPr="00992338" w:rsidRDefault="00992338" w:rsidP="00394955">
      <w:pPr>
        <w:jc w:val="both"/>
        <w:rPr>
          <w:noProof/>
          <w:szCs w:val="22"/>
        </w:rPr>
      </w:pPr>
    </w:p>
    <w:p w14:paraId="48978580" w14:textId="740CFD47" w:rsidR="00BA51E3" w:rsidRDefault="00992338" w:rsidP="00394955">
      <w:pPr>
        <w:jc w:val="both"/>
        <w:rPr>
          <w:noProof/>
          <w:szCs w:val="22"/>
        </w:rPr>
      </w:pPr>
      <w:r w:rsidRPr="00992338">
        <w:rPr>
          <w:noProof/>
          <w:szCs w:val="22"/>
        </w:rPr>
        <w:t>In a male fertility study in rats treated with tinidazole, fertility was reduced at 600 mg/kg/day</w:t>
      </w:r>
      <w:r w:rsidR="0070365C">
        <w:rPr>
          <w:noProof/>
          <w:szCs w:val="22"/>
        </w:rPr>
        <w:t xml:space="preserve">. </w:t>
      </w:r>
      <w:r w:rsidRPr="00992338">
        <w:rPr>
          <w:noProof/>
          <w:szCs w:val="22"/>
        </w:rPr>
        <w:t>Degeneration of seminiferous tubules in the testes and corresponding effects on measures of spermatogenesis were seen at 300 and 600 mg/kg/day.  The No Observable Toxic Effect Level (NOAEL) for effects on the testes and spermatogenesis was determined to be 100 mg/kg/day (approximately 0.5 times the highest therapeutic dose in humans based on body surface area conversions).  In another fertility study, a decrease in fertility was observed in male rats at 300 mg/kg/day and in females at 150 and 300 mg/kg/d</w:t>
      </w:r>
      <w:r w:rsidR="0070365C">
        <w:rPr>
          <w:noProof/>
          <w:szCs w:val="22"/>
        </w:rPr>
        <w:t>ay after 20 days of treatment</w:t>
      </w:r>
      <w:r w:rsidRPr="00992338">
        <w:rPr>
          <w:noProof/>
          <w:szCs w:val="22"/>
        </w:rPr>
        <w:t>.</w:t>
      </w:r>
    </w:p>
    <w:p w14:paraId="315D8FB2" w14:textId="77777777" w:rsidR="0070365C" w:rsidRPr="00F174D7" w:rsidRDefault="0070365C" w:rsidP="006B4557">
      <w:pPr>
        <w:rPr>
          <w:noProof/>
          <w:szCs w:val="22"/>
        </w:rPr>
      </w:pPr>
    </w:p>
    <w:p w14:paraId="0DB311EA" w14:textId="77777777" w:rsidR="00812D16" w:rsidRPr="00F174D7" w:rsidRDefault="00812D16" w:rsidP="00635AC7">
      <w:pPr>
        <w:suppressAutoHyphens/>
        <w:ind w:left="567" w:hanging="567"/>
        <w:rPr>
          <w:b/>
          <w:noProof/>
          <w:szCs w:val="22"/>
        </w:rPr>
      </w:pPr>
      <w:r w:rsidRPr="00F174D7">
        <w:rPr>
          <w:b/>
          <w:noProof/>
          <w:szCs w:val="22"/>
        </w:rPr>
        <w:t>6.</w:t>
      </w:r>
      <w:r w:rsidRPr="00F174D7">
        <w:rPr>
          <w:b/>
          <w:noProof/>
          <w:szCs w:val="22"/>
        </w:rPr>
        <w:tab/>
        <w:t>PHARMACEUTICAL PARTICULARS</w:t>
      </w:r>
    </w:p>
    <w:p w14:paraId="29C2FFA6" w14:textId="77777777" w:rsidR="00812D16" w:rsidRPr="00F174D7" w:rsidRDefault="00812D16" w:rsidP="001B04D0">
      <w:pPr>
        <w:rPr>
          <w:noProof/>
          <w:szCs w:val="22"/>
        </w:rPr>
      </w:pPr>
    </w:p>
    <w:p w14:paraId="38D63B47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6.1</w:t>
      </w:r>
      <w:r w:rsidRPr="00F174D7">
        <w:rPr>
          <w:b/>
          <w:noProof/>
          <w:szCs w:val="22"/>
        </w:rPr>
        <w:tab/>
        <w:t>List of excipients</w:t>
      </w:r>
    </w:p>
    <w:p w14:paraId="4813DDFD" w14:textId="77777777" w:rsidR="0070365C" w:rsidRDefault="0070365C" w:rsidP="00245E09">
      <w:pPr>
        <w:rPr>
          <w:szCs w:val="22"/>
        </w:rPr>
      </w:pPr>
      <w:r>
        <w:rPr>
          <w:szCs w:val="22"/>
        </w:rPr>
        <w:t>For one coated tablet:</w:t>
      </w:r>
    </w:p>
    <w:p w14:paraId="19E359AD" w14:textId="2A5DE474" w:rsidR="00245E09" w:rsidRPr="00592458" w:rsidRDefault="00245E09" w:rsidP="0070365C">
      <w:pPr>
        <w:rPr>
          <w:i/>
          <w:szCs w:val="22"/>
          <w:lang w:val="en-US"/>
        </w:rPr>
      </w:pPr>
      <w:r w:rsidRPr="007F666B">
        <w:rPr>
          <w:i/>
          <w:szCs w:val="22"/>
        </w:rPr>
        <w:t xml:space="preserve">maize starch, </w:t>
      </w:r>
      <w:proofErr w:type="spellStart"/>
      <w:r w:rsidRPr="007F666B">
        <w:rPr>
          <w:i/>
          <w:szCs w:val="22"/>
        </w:rPr>
        <w:t>microcristalline</w:t>
      </w:r>
      <w:proofErr w:type="spellEnd"/>
      <w:r w:rsidRPr="007F666B">
        <w:rPr>
          <w:i/>
          <w:szCs w:val="22"/>
        </w:rPr>
        <w:t xml:space="preserve"> cellulose, sodium </w:t>
      </w:r>
      <w:proofErr w:type="spellStart"/>
      <w:r w:rsidRPr="007F666B">
        <w:rPr>
          <w:i/>
          <w:szCs w:val="22"/>
        </w:rPr>
        <w:t>methylparahydroxybenzoate</w:t>
      </w:r>
      <w:proofErr w:type="spellEnd"/>
      <w:r w:rsidRPr="007F666B">
        <w:rPr>
          <w:i/>
          <w:szCs w:val="22"/>
        </w:rPr>
        <w:t xml:space="preserve"> (E219), sodium </w:t>
      </w:r>
      <w:proofErr w:type="spellStart"/>
      <w:r w:rsidRPr="007F666B">
        <w:rPr>
          <w:i/>
          <w:szCs w:val="22"/>
        </w:rPr>
        <w:t>propylparahydroxybenzoate</w:t>
      </w:r>
      <w:proofErr w:type="spellEnd"/>
      <w:r w:rsidRPr="007F666B">
        <w:rPr>
          <w:i/>
          <w:szCs w:val="22"/>
        </w:rPr>
        <w:t xml:space="preserve"> (E217), talc, magnesium stearate, colloidal anhydrous silica,</w:t>
      </w:r>
      <w:r w:rsidRPr="00394955">
        <w:rPr>
          <w:i/>
          <w:szCs w:val="22"/>
        </w:rPr>
        <w:t xml:space="preserve"> </w:t>
      </w:r>
      <w:proofErr w:type="spellStart"/>
      <w:r w:rsidRPr="00592458">
        <w:rPr>
          <w:i/>
          <w:szCs w:val="22"/>
          <w:lang w:val="en-US"/>
        </w:rPr>
        <w:t>hypromellose</w:t>
      </w:r>
      <w:proofErr w:type="spellEnd"/>
      <w:r w:rsidRPr="00592458">
        <w:rPr>
          <w:i/>
          <w:szCs w:val="22"/>
          <w:lang w:val="en-US"/>
        </w:rPr>
        <w:t>, titanium dioxide (E171), polyethylene glycol 6000.</w:t>
      </w:r>
    </w:p>
    <w:p w14:paraId="41F3FA1E" w14:textId="77777777" w:rsidR="00812D16" w:rsidRPr="00394955" w:rsidRDefault="00812D16" w:rsidP="006B4557">
      <w:pPr>
        <w:rPr>
          <w:noProof/>
          <w:szCs w:val="22"/>
          <w:lang w:val="en-US"/>
        </w:rPr>
      </w:pPr>
    </w:p>
    <w:p w14:paraId="47CF3A8C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6.2</w:t>
      </w:r>
      <w:r w:rsidRPr="00F174D7">
        <w:rPr>
          <w:b/>
          <w:noProof/>
          <w:szCs w:val="22"/>
        </w:rPr>
        <w:tab/>
        <w:t>Incompatibilities</w:t>
      </w:r>
    </w:p>
    <w:p w14:paraId="7405EB0B" w14:textId="77777777" w:rsidR="00812D16" w:rsidRPr="00F174D7" w:rsidRDefault="00812D16" w:rsidP="006B4557">
      <w:pPr>
        <w:rPr>
          <w:noProof/>
          <w:szCs w:val="22"/>
        </w:rPr>
      </w:pPr>
      <w:r w:rsidRPr="00F174D7">
        <w:rPr>
          <w:noProof/>
          <w:szCs w:val="22"/>
        </w:rPr>
        <w:t xml:space="preserve">Not applicable. </w:t>
      </w:r>
    </w:p>
    <w:p w14:paraId="2216EB33" w14:textId="77777777" w:rsidR="00812D16" w:rsidRPr="00F174D7" w:rsidRDefault="00812D16" w:rsidP="006B4557">
      <w:pPr>
        <w:rPr>
          <w:noProof/>
          <w:szCs w:val="22"/>
        </w:rPr>
      </w:pPr>
    </w:p>
    <w:p w14:paraId="6449D413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r w:rsidRPr="00F174D7">
        <w:rPr>
          <w:b/>
          <w:noProof/>
          <w:szCs w:val="22"/>
        </w:rPr>
        <w:t>6.3</w:t>
      </w:r>
      <w:r w:rsidRPr="00F174D7">
        <w:rPr>
          <w:b/>
          <w:noProof/>
          <w:szCs w:val="22"/>
        </w:rPr>
        <w:tab/>
        <w:t>Shelf life</w:t>
      </w:r>
    </w:p>
    <w:p w14:paraId="7F59C0DA" w14:textId="77777777" w:rsidR="00812D16" w:rsidRPr="00F174D7" w:rsidRDefault="00812D16" w:rsidP="006B4557">
      <w:pPr>
        <w:rPr>
          <w:noProof/>
          <w:szCs w:val="22"/>
        </w:rPr>
      </w:pPr>
      <w:r w:rsidRPr="00F174D7">
        <w:rPr>
          <w:noProof/>
          <w:szCs w:val="22"/>
        </w:rPr>
        <w:t>3 years</w:t>
      </w:r>
    </w:p>
    <w:p w14:paraId="3148773D" w14:textId="77777777" w:rsidR="00812D16" w:rsidRPr="00F174D7" w:rsidRDefault="00812D16" w:rsidP="006B4557">
      <w:pPr>
        <w:rPr>
          <w:noProof/>
          <w:szCs w:val="22"/>
        </w:rPr>
      </w:pPr>
    </w:p>
    <w:p w14:paraId="4413255E" w14:textId="77777777" w:rsidR="00812D16" w:rsidRPr="00F174D7" w:rsidRDefault="00812D16" w:rsidP="006B4557">
      <w:pPr>
        <w:ind w:left="567" w:hanging="567"/>
        <w:outlineLvl w:val="0"/>
        <w:rPr>
          <w:b/>
          <w:noProof/>
          <w:szCs w:val="22"/>
        </w:rPr>
      </w:pPr>
      <w:r w:rsidRPr="00F174D7">
        <w:rPr>
          <w:b/>
          <w:noProof/>
          <w:szCs w:val="22"/>
        </w:rPr>
        <w:t>6.4</w:t>
      </w:r>
      <w:r w:rsidRPr="00F174D7">
        <w:rPr>
          <w:b/>
          <w:noProof/>
          <w:szCs w:val="22"/>
        </w:rPr>
        <w:tab/>
        <w:t>Special precautions for storage</w:t>
      </w:r>
    </w:p>
    <w:p w14:paraId="2D8D688F" w14:textId="443644F6" w:rsidR="00D223D3" w:rsidRPr="00D223D3" w:rsidRDefault="00D223D3" w:rsidP="00245E09">
      <w:pPr>
        <w:suppressAutoHyphens/>
        <w:rPr>
          <w:noProof/>
          <w:szCs w:val="22"/>
          <w:lang w:val="en-US"/>
        </w:rPr>
      </w:pPr>
      <w:r>
        <w:rPr>
          <w:noProof/>
          <w:szCs w:val="22"/>
          <w:lang w:val="en-US"/>
        </w:rPr>
        <w:t>S</w:t>
      </w:r>
      <w:r w:rsidR="00E65D55">
        <w:rPr>
          <w:noProof/>
          <w:szCs w:val="22"/>
          <w:lang w:val="en-US"/>
        </w:rPr>
        <w:t>t</w:t>
      </w:r>
      <w:r>
        <w:rPr>
          <w:noProof/>
          <w:szCs w:val="22"/>
          <w:lang w:val="en-US"/>
        </w:rPr>
        <w:t>ore</w:t>
      </w:r>
      <w:r w:rsidRPr="00D223D3">
        <w:rPr>
          <w:noProof/>
          <w:szCs w:val="22"/>
          <w:lang w:val="en-US"/>
        </w:rPr>
        <w:t xml:space="preserve"> </w:t>
      </w:r>
      <w:r>
        <w:rPr>
          <w:noProof/>
          <w:szCs w:val="22"/>
          <w:lang w:val="en-US"/>
        </w:rPr>
        <w:t>in the original package</w:t>
      </w:r>
      <w:r w:rsidRPr="00D223D3">
        <w:rPr>
          <w:noProof/>
          <w:szCs w:val="22"/>
          <w:lang w:val="en-US"/>
        </w:rPr>
        <w:t>, protect from heat, light and moisture</w:t>
      </w:r>
    </w:p>
    <w:p w14:paraId="12491D3C" w14:textId="77777777" w:rsidR="0070365C" w:rsidRDefault="00245E09" w:rsidP="00245E09">
      <w:pPr>
        <w:suppressAutoHyphens/>
        <w:rPr>
          <w:noProof/>
          <w:szCs w:val="22"/>
          <w:lang w:val="en-US"/>
        </w:rPr>
      </w:pPr>
      <w:r w:rsidRPr="00F174D7">
        <w:rPr>
          <w:noProof/>
          <w:szCs w:val="22"/>
          <w:lang w:val="en-US"/>
        </w:rPr>
        <w:t>Store below 30°C.</w:t>
      </w:r>
    </w:p>
    <w:p w14:paraId="24F0EE86" w14:textId="6F1202DD" w:rsidR="00245E09" w:rsidRPr="00F174D7" w:rsidRDefault="00245E09" w:rsidP="00245E09">
      <w:pPr>
        <w:suppressAutoHyphens/>
        <w:rPr>
          <w:noProof/>
          <w:szCs w:val="22"/>
          <w:lang w:val="en-US"/>
        </w:rPr>
      </w:pPr>
      <w:r w:rsidRPr="00F174D7">
        <w:rPr>
          <w:noProof/>
          <w:szCs w:val="22"/>
          <w:lang w:val="en-US"/>
        </w:rPr>
        <w:t>Keep out the reach and sight of children.</w:t>
      </w:r>
    </w:p>
    <w:p w14:paraId="47586D05" w14:textId="77777777" w:rsidR="00812D16" w:rsidRPr="00F174D7" w:rsidRDefault="00F9016F" w:rsidP="006B4557">
      <w:pPr>
        <w:spacing w:line="240" w:lineRule="auto"/>
        <w:outlineLvl w:val="0"/>
        <w:rPr>
          <w:b/>
          <w:noProof/>
          <w:szCs w:val="22"/>
        </w:rPr>
      </w:pPr>
      <w:r w:rsidRPr="00F174D7">
        <w:rPr>
          <w:b/>
          <w:noProof/>
          <w:szCs w:val="22"/>
        </w:rPr>
        <w:lastRenderedPageBreak/>
        <w:t>6.5</w:t>
      </w:r>
      <w:r w:rsidRPr="00F174D7">
        <w:rPr>
          <w:b/>
          <w:noProof/>
          <w:szCs w:val="22"/>
        </w:rPr>
        <w:tab/>
      </w:r>
      <w:r w:rsidR="00812D16" w:rsidRPr="00F174D7">
        <w:rPr>
          <w:b/>
          <w:noProof/>
          <w:szCs w:val="22"/>
        </w:rPr>
        <w:t xml:space="preserve">Nature </w:t>
      </w:r>
      <w:r w:rsidR="00F174D7" w:rsidRPr="00F174D7">
        <w:rPr>
          <w:b/>
          <w:noProof/>
          <w:szCs w:val="22"/>
        </w:rPr>
        <w:t>and contents of container</w:t>
      </w:r>
    </w:p>
    <w:p w14:paraId="265B4085" w14:textId="2104D87D" w:rsidR="00812D16" w:rsidRPr="00F174D7" w:rsidRDefault="00245E09" w:rsidP="00F174D7">
      <w:pPr>
        <w:suppressAutoHyphens/>
        <w:rPr>
          <w:noProof/>
          <w:szCs w:val="22"/>
          <w:lang w:val="en-US"/>
        </w:rPr>
      </w:pPr>
      <w:r w:rsidRPr="00F174D7">
        <w:rPr>
          <w:noProof/>
          <w:szCs w:val="22"/>
          <w:lang w:val="en-US"/>
        </w:rPr>
        <w:t xml:space="preserve">Box of 4 film-coated tablets </w:t>
      </w:r>
      <w:r w:rsidR="001B04D0" w:rsidRPr="00F174D7">
        <w:rPr>
          <w:noProof/>
          <w:szCs w:val="22"/>
          <w:lang w:val="en-US"/>
        </w:rPr>
        <w:t>packaged in PVC-Aluminium blister</w:t>
      </w:r>
      <w:r w:rsidRPr="00F174D7">
        <w:rPr>
          <w:noProof/>
          <w:szCs w:val="22"/>
          <w:lang w:val="en-US"/>
        </w:rPr>
        <w:t>.</w:t>
      </w:r>
    </w:p>
    <w:p w14:paraId="15C6F0C8" w14:textId="77777777" w:rsidR="00812D16" w:rsidRPr="00F174D7" w:rsidRDefault="00812D16" w:rsidP="006B4557">
      <w:pPr>
        <w:rPr>
          <w:noProof/>
          <w:szCs w:val="22"/>
          <w:lang w:val="en-US"/>
        </w:rPr>
      </w:pPr>
    </w:p>
    <w:p w14:paraId="0C0FE08E" w14:textId="77777777" w:rsidR="00812D16" w:rsidRPr="00F174D7" w:rsidRDefault="00812D16" w:rsidP="006B4557">
      <w:pPr>
        <w:ind w:left="567" w:hanging="567"/>
        <w:outlineLvl w:val="0"/>
        <w:rPr>
          <w:noProof/>
          <w:szCs w:val="22"/>
        </w:rPr>
      </w:pPr>
      <w:bookmarkStart w:id="0" w:name="OLE_LINK1"/>
      <w:r w:rsidRPr="00F174D7">
        <w:rPr>
          <w:b/>
          <w:noProof/>
          <w:szCs w:val="22"/>
        </w:rPr>
        <w:t>6.6</w:t>
      </w:r>
      <w:r w:rsidRPr="00F174D7">
        <w:rPr>
          <w:b/>
          <w:noProof/>
          <w:szCs w:val="22"/>
        </w:rPr>
        <w:tab/>
        <w:t>Sp</w:t>
      </w:r>
      <w:r w:rsidR="00245E09" w:rsidRPr="00F174D7">
        <w:rPr>
          <w:b/>
          <w:noProof/>
          <w:szCs w:val="22"/>
        </w:rPr>
        <w:t xml:space="preserve">ecial precautions for disposal </w:t>
      </w:r>
      <w:r w:rsidRPr="00F174D7">
        <w:rPr>
          <w:b/>
          <w:noProof/>
          <w:szCs w:val="22"/>
        </w:rPr>
        <w:t>and other handling</w:t>
      </w:r>
    </w:p>
    <w:p w14:paraId="58266E64" w14:textId="77777777" w:rsidR="00812D16" w:rsidRPr="00F174D7" w:rsidRDefault="00812D16" w:rsidP="006B4557">
      <w:pPr>
        <w:rPr>
          <w:szCs w:val="22"/>
        </w:rPr>
      </w:pPr>
      <w:r w:rsidRPr="00F174D7">
        <w:rPr>
          <w:szCs w:val="22"/>
        </w:rPr>
        <w:t>Any unused medicinal product or waste material should be disposed of in accordance with local requirement</w:t>
      </w:r>
      <w:r w:rsidR="00245E09" w:rsidRPr="00F174D7">
        <w:rPr>
          <w:szCs w:val="22"/>
        </w:rPr>
        <w:t>s.</w:t>
      </w:r>
      <w:r w:rsidRPr="00F174D7">
        <w:rPr>
          <w:szCs w:val="22"/>
        </w:rPr>
        <w:t xml:space="preserve"> </w:t>
      </w:r>
    </w:p>
    <w:bookmarkEnd w:id="0"/>
    <w:p w14:paraId="5565E51E" w14:textId="77777777" w:rsidR="00812D16" w:rsidRDefault="00812D16" w:rsidP="006B4557">
      <w:pPr>
        <w:rPr>
          <w:szCs w:val="22"/>
        </w:rPr>
      </w:pPr>
    </w:p>
    <w:p w14:paraId="4113943A" w14:textId="77777777" w:rsidR="00C864FB" w:rsidRPr="00F174D7" w:rsidRDefault="00C864FB" w:rsidP="006B4557">
      <w:pPr>
        <w:rPr>
          <w:szCs w:val="22"/>
        </w:rPr>
      </w:pPr>
    </w:p>
    <w:p w14:paraId="272A573A" w14:textId="3AF6CD29" w:rsidR="00245E09" w:rsidRPr="0015782D" w:rsidRDefault="0015782D" w:rsidP="0015782D">
      <w:pPr>
        <w:suppressAutoHyphens/>
        <w:ind w:left="567" w:hanging="567"/>
        <w:rPr>
          <w:b/>
          <w:noProof/>
          <w:szCs w:val="22"/>
          <w:lang w:val="en-US"/>
        </w:rPr>
      </w:pPr>
      <w:r w:rsidRPr="0015782D">
        <w:rPr>
          <w:b/>
          <w:noProof/>
          <w:szCs w:val="22"/>
          <w:lang w:val="en-US"/>
        </w:rPr>
        <w:t>7.</w:t>
      </w:r>
      <w:r>
        <w:rPr>
          <w:b/>
          <w:noProof/>
          <w:szCs w:val="22"/>
          <w:lang w:val="en-US"/>
        </w:rPr>
        <w:tab/>
      </w:r>
      <w:r w:rsidR="007F666B" w:rsidRPr="0015782D">
        <w:rPr>
          <w:b/>
          <w:noProof/>
          <w:szCs w:val="22"/>
          <w:lang w:val="en-US"/>
        </w:rPr>
        <w:t>CATEGORY OF DISTRIBUTION</w:t>
      </w:r>
    </w:p>
    <w:p w14:paraId="0369B13D" w14:textId="77777777" w:rsidR="0015782D" w:rsidRPr="0015782D" w:rsidRDefault="0015782D" w:rsidP="0015782D">
      <w:pPr>
        <w:ind w:left="567" w:hanging="567"/>
        <w:rPr>
          <w:noProof/>
          <w:lang w:val="en-US"/>
        </w:rPr>
      </w:pPr>
    </w:p>
    <w:p w14:paraId="1E6123F7" w14:textId="77777777" w:rsidR="00245E09" w:rsidRPr="00F174D7" w:rsidRDefault="0035374D" w:rsidP="00245E09">
      <w:pPr>
        <w:ind w:firstLine="360"/>
        <w:rPr>
          <w:szCs w:val="22"/>
          <w:lang w:val="en-US"/>
        </w:rPr>
      </w:pPr>
      <w:r w:rsidRPr="00F174D7">
        <w:rPr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245E09" w:rsidRPr="00F174D7">
        <w:rPr>
          <w:szCs w:val="22"/>
          <w:lang w:val="en-US"/>
        </w:rPr>
        <w:instrText xml:space="preserve"> FORMCHECKBOX </w:instrText>
      </w:r>
      <w:r w:rsidR="0015782D">
        <w:rPr>
          <w:szCs w:val="22"/>
        </w:rPr>
      </w:r>
      <w:r w:rsidR="0015782D">
        <w:rPr>
          <w:szCs w:val="22"/>
        </w:rPr>
        <w:fldChar w:fldCharType="separate"/>
      </w:r>
      <w:r w:rsidRPr="00F174D7">
        <w:rPr>
          <w:szCs w:val="22"/>
        </w:rPr>
        <w:fldChar w:fldCharType="end"/>
      </w:r>
      <w:bookmarkEnd w:id="1"/>
      <w:r w:rsidR="00245E09" w:rsidRPr="00F174D7">
        <w:rPr>
          <w:szCs w:val="22"/>
          <w:lang w:val="en-US"/>
        </w:rPr>
        <w:t xml:space="preserve"> Medicinal product not subject to medical prescription</w:t>
      </w:r>
      <w:r w:rsidR="00245E09" w:rsidRPr="00F174D7">
        <w:rPr>
          <w:szCs w:val="22"/>
          <w:lang w:val="en-US"/>
        </w:rPr>
        <w:tab/>
      </w:r>
      <w:r w:rsidR="00245E09" w:rsidRPr="00F174D7">
        <w:rPr>
          <w:szCs w:val="22"/>
          <w:lang w:val="en-US"/>
        </w:rPr>
        <w:tab/>
      </w:r>
      <w:bookmarkStart w:id="2" w:name="CaseACocher2"/>
      <w:r w:rsidRPr="00F174D7">
        <w:rPr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="00245E09" w:rsidRPr="00F174D7">
        <w:rPr>
          <w:szCs w:val="22"/>
          <w:lang w:val="en-US"/>
        </w:rPr>
        <w:instrText xml:space="preserve"> FORMCHECKBOX </w:instrText>
      </w:r>
      <w:r w:rsidR="0015782D">
        <w:rPr>
          <w:szCs w:val="22"/>
        </w:rPr>
      </w:r>
      <w:r w:rsidR="0015782D">
        <w:rPr>
          <w:szCs w:val="22"/>
        </w:rPr>
        <w:fldChar w:fldCharType="separate"/>
      </w:r>
      <w:r w:rsidRPr="00F174D7">
        <w:rPr>
          <w:szCs w:val="22"/>
        </w:rPr>
        <w:fldChar w:fldCharType="end"/>
      </w:r>
      <w:bookmarkEnd w:id="2"/>
      <w:r w:rsidR="00245E09" w:rsidRPr="00F174D7">
        <w:rPr>
          <w:szCs w:val="22"/>
          <w:lang w:val="en-US"/>
        </w:rPr>
        <w:t xml:space="preserve"> </w:t>
      </w:r>
      <w:proofErr w:type="spellStart"/>
      <w:r w:rsidR="00245E09" w:rsidRPr="00F174D7">
        <w:rPr>
          <w:szCs w:val="22"/>
          <w:lang w:val="en-US"/>
        </w:rPr>
        <w:t>Prescription</w:t>
      </w:r>
      <w:proofErr w:type="spellEnd"/>
      <w:r w:rsidR="00245E09" w:rsidRPr="00F174D7">
        <w:rPr>
          <w:szCs w:val="22"/>
          <w:lang w:val="en-US"/>
        </w:rPr>
        <w:t xml:space="preserve"> only medicine</w:t>
      </w:r>
    </w:p>
    <w:p w14:paraId="0FAD70AF" w14:textId="77777777" w:rsidR="00C864FB" w:rsidRPr="00F174D7" w:rsidRDefault="00C864FB" w:rsidP="006B4557">
      <w:pPr>
        <w:ind w:left="567" w:hanging="567"/>
        <w:rPr>
          <w:noProof/>
          <w:szCs w:val="22"/>
          <w:lang w:val="en-US"/>
        </w:rPr>
      </w:pPr>
    </w:p>
    <w:p w14:paraId="0BC894A9" w14:textId="77777777" w:rsidR="00245E09" w:rsidRPr="00F174D7" w:rsidRDefault="00245E09" w:rsidP="00F174D7">
      <w:pPr>
        <w:rPr>
          <w:noProof/>
          <w:szCs w:val="22"/>
          <w:lang w:val="en-US"/>
        </w:rPr>
      </w:pPr>
    </w:p>
    <w:p w14:paraId="28FBDBE1" w14:textId="024EDF94" w:rsidR="00812D16" w:rsidRDefault="00245E09" w:rsidP="006B4557">
      <w:pPr>
        <w:ind w:left="567" w:hanging="567"/>
        <w:rPr>
          <w:b/>
          <w:noProof/>
          <w:szCs w:val="22"/>
        </w:rPr>
      </w:pPr>
      <w:r w:rsidRPr="00F174D7">
        <w:rPr>
          <w:b/>
          <w:noProof/>
          <w:szCs w:val="22"/>
        </w:rPr>
        <w:t>8</w:t>
      </w:r>
      <w:r w:rsidR="00812D16" w:rsidRPr="00F174D7">
        <w:rPr>
          <w:b/>
          <w:noProof/>
          <w:szCs w:val="22"/>
        </w:rPr>
        <w:t>.</w:t>
      </w:r>
      <w:r w:rsidR="00812D16" w:rsidRPr="00F174D7">
        <w:rPr>
          <w:b/>
          <w:noProof/>
          <w:szCs w:val="22"/>
        </w:rPr>
        <w:tab/>
        <w:t>MARKETING AUTHORISATION HOLDER</w:t>
      </w:r>
    </w:p>
    <w:p w14:paraId="26E3D1F6" w14:textId="77777777" w:rsidR="0015782D" w:rsidRPr="00F174D7" w:rsidRDefault="0015782D" w:rsidP="006B4557">
      <w:pPr>
        <w:ind w:left="567" w:hanging="567"/>
        <w:rPr>
          <w:noProof/>
          <w:szCs w:val="22"/>
        </w:rPr>
      </w:pPr>
    </w:p>
    <w:p w14:paraId="612F2153" w14:textId="77777777" w:rsidR="00245E09" w:rsidRPr="00036FC3" w:rsidRDefault="00245E09" w:rsidP="00245E09">
      <w:pPr>
        <w:widowControl w:val="0"/>
        <w:rPr>
          <w:snapToGrid w:val="0"/>
          <w:szCs w:val="22"/>
        </w:rPr>
      </w:pPr>
      <w:r w:rsidRPr="00036FC3">
        <w:rPr>
          <w:snapToGrid w:val="0"/>
          <w:szCs w:val="22"/>
        </w:rPr>
        <w:t xml:space="preserve">EXPHAR </w:t>
      </w:r>
      <w:proofErr w:type="spellStart"/>
      <w:r w:rsidRPr="00036FC3">
        <w:rPr>
          <w:snapToGrid w:val="0"/>
          <w:szCs w:val="22"/>
        </w:rPr>
        <w:t>s.a.</w:t>
      </w:r>
      <w:proofErr w:type="spellEnd"/>
    </w:p>
    <w:p w14:paraId="3AF6954A" w14:textId="77777777" w:rsidR="0015782D" w:rsidRDefault="00935372" w:rsidP="00245E09">
      <w:pPr>
        <w:widowControl w:val="0"/>
        <w:rPr>
          <w:bCs/>
          <w:lang w:val="fr-BE"/>
        </w:rPr>
      </w:pPr>
      <w:r w:rsidRPr="00935372">
        <w:rPr>
          <w:bCs/>
          <w:lang w:val="fr-BE"/>
        </w:rPr>
        <w:t>Zoning Industriel de Nivelles Sud, zone II</w:t>
      </w:r>
    </w:p>
    <w:p w14:paraId="2EC07F1A" w14:textId="77777777" w:rsidR="0015782D" w:rsidRDefault="00935372" w:rsidP="00245E09">
      <w:pPr>
        <w:widowControl w:val="0"/>
        <w:rPr>
          <w:bCs/>
        </w:rPr>
      </w:pPr>
      <w:r w:rsidRPr="0015782D">
        <w:rPr>
          <w:bCs/>
          <w:lang w:val="en-US"/>
        </w:rPr>
        <w:t>Av</w:t>
      </w:r>
      <w:r w:rsidR="0015782D">
        <w:rPr>
          <w:bCs/>
          <w:lang w:val="en-US"/>
        </w:rPr>
        <w:t>enue</w:t>
      </w:r>
      <w:r w:rsidRPr="0015782D">
        <w:rPr>
          <w:bCs/>
          <w:lang w:val="en-US"/>
        </w:rPr>
        <w:t xml:space="preserve"> </w:t>
      </w:r>
      <w:r>
        <w:rPr>
          <w:bCs/>
        </w:rPr>
        <w:t xml:space="preserve">Thomas Edison 105 </w:t>
      </w:r>
    </w:p>
    <w:p w14:paraId="681E5E24" w14:textId="40CDB5B4" w:rsidR="00935372" w:rsidRDefault="00935372" w:rsidP="00245E09">
      <w:pPr>
        <w:widowControl w:val="0"/>
        <w:rPr>
          <w:bCs/>
          <w:lang w:val="en-US"/>
        </w:rPr>
      </w:pPr>
      <w:r>
        <w:rPr>
          <w:bCs/>
        </w:rPr>
        <w:t>1402 Thines (</w:t>
      </w:r>
      <w:r>
        <w:rPr>
          <w:bCs/>
          <w:lang w:val="en-US"/>
        </w:rPr>
        <w:t>Belgium).</w:t>
      </w:r>
    </w:p>
    <w:p w14:paraId="700E87FB" w14:textId="77777777" w:rsidR="00245E09" w:rsidRPr="00F174D7" w:rsidRDefault="00245E09" w:rsidP="00245E09">
      <w:pPr>
        <w:widowControl w:val="0"/>
        <w:rPr>
          <w:snapToGrid w:val="0"/>
          <w:szCs w:val="22"/>
        </w:rPr>
      </w:pPr>
      <w:r w:rsidRPr="00F174D7">
        <w:rPr>
          <w:snapToGrid w:val="0"/>
          <w:szCs w:val="22"/>
        </w:rPr>
        <w:t>Phone</w:t>
      </w:r>
      <w:r w:rsidRPr="00F174D7">
        <w:rPr>
          <w:snapToGrid w:val="0"/>
          <w:szCs w:val="22"/>
        </w:rPr>
        <w:tab/>
      </w:r>
      <w:r w:rsidR="00D45488">
        <w:rPr>
          <w:snapToGrid w:val="0"/>
          <w:szCs w:val="22"/>
        </w:rPr>
        <w:tab/>
      </w:r>
      <w:r w:rsidR="00935372">
        <w:rPr>
          <w:snapToGrid w:val="0"/>
          <w:szCs w:val="22"/>
        </w:rPr>
        <w:t>0032 (0)67 68 84 05</w:t>
      </w:r>
    </w:p>
    <w:p w14:paraId="7883A084" w14:textId="77777777" w:rsidR="00245E09" w:rsidRPr="00F174D7" w:rsidRDefault="00245E09" w:rsidP="00245E09">
      <w:pPr>
        <w:widowControl w:val="0"/>
        <w:rPr>
          <w:snapToGrid w:val="0"/>
          <w:szCs w:val="22"/>
        </w:rPr>
      </w:pPr>
      <w:r w:rsidRPr="00F174D7">
        <w:rPr>
          <w:snapToGrid w:val="0"/>
          <w:szCs w:val="22"/>
        </w:rPr>
        <w:t>Fax</w:t>
      </w:r>
      <w:r w:rsidRPr="00F174D7">
        <w:rPr>
          <w:snapToGrid w:val="0"/>
          <w:szCs w:val="22"/>
        </w:rPr>
        <w:tab/>
      </w:r>
      <w:r w:rsidR="00D45488">
        <w:rPr>
          <w:snapToGrid w:val="0"/>
          <w:szCs w:val="22"/>
        </w:rPr>
        <w:tab/>
      </w:r>
      <w:r w:rsidR="00935372">
        <w:rPr>
          <w:snapToGrid w:val="0"/>
          <w:szCs w:val="22"/>
        </w:rPr>
        <w:t>0032 (0)67 68 84 19</w:t>
      </w:r>
    </w:p>
    <w:p w14:paraId="6CB1DD5D" w14:textId="77777777" w:rsidR="00245E09" w:rsidRPr="00F174D7" w:rsidRDefault="00245E09" w:rsidP="006B4557">
      <w:pPr>
        <w:rPr>
          <w:szCs w:val="22"/>
        </w:rPr>
      </w:pPr>
    </w:p>
    <w:p w14:paraId="7E862AE6" w14:textId="77777777" w:rsidR="00812D16" w:rsidRPr="00F174D7" w:rsidRDefault="00812D16" w:rsidP="006B4557">
      <w:pPr>
        <w:rPr>
          <w:noProof/>
          <w:szCs w:val="22"/>
        </w:rPr>
      </w:pPr>
    </w:p>
    <w:p w14:paraId="7C28ABF8" w14:textId="29D8D194" w:rsidR="00812D16" w:rsidRDefault="00245E09" w:rsidP="006B4557">
      <w:pPr>
        <w:ind w:left="567" w:hanging="567"/>
        <w:rPr>
          <w:b/>
          <w:noProof/>
          <w:szCs w:val="22"/>
        </w:rPr>
      </w:pPr>
      <w:r w:rsidRPr="00F174D7">
        <w:rPr>
          <w:b/>
          <w:noProof/>
          <w:szCs w:val="22"/>
        </w:rPr>
        <w:t>9</w:t>
      </w:r>
      <w:r w:rsidR="00812D16" w:rsidRPr="00F174D7">
        <w:rPr>
          <w:b/>
          <w:noProof/>
          <w:szCs w:val="22"/>
        </w:rPr>
        <w:t>.</w:t>
      </w:r>
      <w:r w:rsidR="00812D16" w:rsidRPr="00F174D7">
        <w:rPr>
          <w:b/>
          <w:noProof/>
          <w:szCs w:val="22"/>
        </w:rPr>
        <w:tab/>
        <w:t>MA</w:t>
      </w:r>
      <w:r w:rsidRPr="00F174D7">
        <w:rPr>
          <w:b/>
          <w:noProof/>
          <w:szCs w:val="22"/>
        </w:rPr>
        <w:t>NUFACTURER</w:t>
      </w:r>
    </w:p>
    <w:p w14:paraId="7DECD907" w14:textId="77777777" w:rsidR="0015782D" w:rsidRPr="00F174D7" w:rsidRDefault="0015782D" w:rsidP="006B4557">
      <w:pPr>
        <w:ind w:left="567" w:hanging="567"/>
        <w:rPr>
          <w:b/>
          <w:noProof/>
          <w:szCs w:val="22"/>
        </w:rPr>
      </w:pPr>
    </w:p>
    <w:p w14:paraId="3F5A3105" w14:textId="77777777" w:rsidR="00245E09" w:rsidRPr="00F174D7" w:rsidRDefault="00245E09" w:rsidP="00245E09">
      <w:pPr>
        <w:rPr>
          <w:szCs w:val="22"/>
        </w:rPr>
      </w:pPr>
      <w:r w:rsidRPr="00F174D7">
        <w:rPr>
          <w:szCs w:val="22"/>
        </w:rPr>
        <w:t>GRACURE Pharmaceuticals Ltd.,</w:t>
      </w:r>
    </w:p>
    <w:p w14:paraId="02176443" w14:textId="77777777" w:rsidR="00245E09" w:rsidRPr="00F174D7" w:rsidRDefault="00245E09" w:rsidP="00245E09">
      <w:pPr>
        <w:rPr>
          <w:szCs w:val="22"/>
        </w:rPr>
      </w:pPr>
      <w:r w:rsidRPr="00F174D7">
        <w:rPr>
          <w:szCs w:val="22"/>
        </w:rPr>
        <w:t>Uni</w:t>
      </w:r>
      <w:r w:rsidRPr="00F174D7">
        <w:rPr>
          <w:bCs/>
          <w:szCs w:val="22"/>
        </w:rPr>
        <w:t>t:</w:t>
      </w:r>
      <w:r w:rsidRPr="00F174D7">
        <w:rPr>
          <w:szCs w:val="22"/>
        </w:rPr>
        <w:t xml:space="preserve">  E-1105, Industrial Area, Phase-III,</w:t>
      </w:r>
    </w:p>
    <w:p w14:paraId="566E10D7" w14:textId="77777777" w:rsidR="00245E09" w:rsidRPr="00F174D7" w:rsidRDefault="00245E09" w:rsidP="00245E09">
      <w:pPr>
        <w:rPr>
          <w:szCs w:val="22"/>
        </w:rPr>
      </w:pPr>
      <w:proofErr w:type="spellStart"/>
      <w:r w:rsidRPr="00F174D7">
        <w:rPr>
          <w:szCs w:val="22"/>
        </w:rPr>
        <w:t>Bhiwadi</w:t>
      </w:r>
      <w:proofErr w:type="spellEnd"/>
      <w:r w:rsidRPr="00F174D7">
        <w:rPr>
          <w:szCs w:val="22"/>
        </w:rPr>
        <w:t>, Dist. Alwar (Raj.)</w:t>
      </w:r>
    </w:p>
    <w:p w14:paraId="5788F248" w14:textId="77777777" w:rsidR="00245E09" w:rsidRPr="00F174D7" w:rsidRDefault="00245E09" w:rsidP="00245E09">
      <w:pPr>
        <w:rPr>
          <w:snapToGrid w:val="0"/>
          <w:szCs w:val="22"/>
          <w:lang w:val="en-US"/>
        </w:rPr>
      </w:pPr>
      <w:r w:rsidRPr="00F174D7">
        <w:rPr>
          <w:snapToGrid w:val="0"/>
          <w:szCs w:val="22"/>
          <w:lang w:val="en-US"/>
        </w:rPr>
        <w:t>Phone</w:t>
      </w:r>
      <w:r w:rsidRPr="00F174D7">
        <w:rPr>
          <w:snapToGrid w:val="0"/>
          <w:szCs w:val="22"/>
          <w:lang w:val="en-US"/>
        </w:rPr>
        <w:tab/>
      </w:r>
      <w:r w:rsidR="00D45488">
        <w:rPr>
          <w:snapToGrid w:val="0"/>
          <w:szCs w:val="22"/>
          <w:lang w:val="en-US"/>
        </w:rPr>
        <w:tab/>
      </w:r>
      <w:r w:rsidRPr="00F174D7">
        <w:rPr>
          <w:snapToGrid w:val="0"/>
          <w:szCs w:val="22"/>
          <w:lang w:val="en-US"/>
        </w:rPr>
        <w:t>91.11.25.92.07.48</w:t>
      </w:r>
    </w:p>
    <w:p w14:paraId="3BC38D65" w14:textId="77777777" w:rsidR="00245E09" w:rsidRPr="007E4656" w:rsidRDefault="00245E09" w:rsidP="00245E09">
      <w:pPr>
        <w:rPr>
          <w:noProof/>
          <w:szCs w:val="22"/>
          <w:lang w:val="en-US"/>
        </w:rPr>
      </w:pPr>
      <w:r w:rsidRPr="007E4656">
        <w:rPr>
          <w:snapToGrid w:val="0"/>
          <w:szCs w:val="22"/>
          <w:lang w:val="en-US"/>
        </w:rPr>
        <w:t>Fax</w:t>
      </w:r>
      <w:r w:rsidRPr="007E4656">
        <w:rPr>
          <w:snapToGrid w:val="0"/>
          <w:szCs w:val="22"/>
          <w:lang w:val="en-US"/>
        </w:rPr>
        <w:tab/>
      </w:r>
      <w:r w:rsidR="00D45488">
        <w:rPr>
          <w:snapToGrid w:val="0"/>
          <w:szCs w:val="22"/>
          <w:lang w:val="en-US"/>
        </w:rPr>
        <w:tab/>
      </w:r>
      <w:r w:rsidRPr="007E4656">
        <w:rPr>
          <w:snapToGrid w:val="0"/>
          <w:szCs w:val="22"/>
          <w:lang w:val="en-US"/>
        </w:rPr>
        <w:t>91.11.25.92.07.47</w:t>
      </w:r>
    </w:p>
    <w:p w14:paraId="58144258" w14:textId="5BF0E634" w:rsidR="00812D16" w:rsidRDefault="00812D16" w:rsidP="006B4557">
      <w:pPr>
        <w:rPr>
          <w:noProof/>
          <w:szCs w:val="22"/>
        </w:rPr>
      </w:pPr>
    </w:p>
    <w:p w14:paraId="43BC4CCE" w14:textId="77777777" w:rsidR="0015782D" w:rsidRPr="00F174D7" w:rsidRDefault="0015782D" w:rsidP="006B4557">
      <w:pPr>
        <w:rPr>
          <w:noProof/>
          <w:szCs w:val="22"/>
        </w:rPr>
      </w:pPr>
    </w:p>
    <w:p w14:paraId="1C41FDF7" w14:textId="77777777" w:rsidR="00812D16" w:rsidRPr="00F174D7" w:rsidRDefault="00812D16" w:rsidP="006B4557">
      <w:pPr>
        <w:ind w:left="567" w:hanging="567"/>
        <w:rPr>
          <w:b/>
          <w:noProof/>
          <w:szCs w:val="22"/>
        </w:rPr>
      </w:pPr>
      <w:r w:rsidRPr="00F174D7">
        <w:rPr>
          <w:b/>
          <w:noProof/>
          <w:szCs w:val="22"/>
        </w:rPr>
        <w:t>10.</w:t>
      </w:r>
      <w:r w:rsidRPr="00F174D7">
        <w:rPr>
          <w:b/>
          <w:noProof/>
          <w:szCs w:val="22"/>
        </w:rPr>
        <w:tab/>
        <w:t>DATE OF REVISION OF THE TEXT</w:t>
      </w:r>
    </w:p>
    <w:p w14:paraId="2AB8B7F6" w14:textId="77777777" w:rsidR="00812D16" w:rsidRPr="00F174D7" w:rsidRDefault="00812D16" w:rsidP="006B4557">
      <w:pPr>
        <w:rPr>
          <w:noProof/>
          <w:szCs w:val="22"/>
        </w:rPr>
      </w:pPr>
    </w:p>
    <w:p w14:paraId="0B7619EF" w14:textId="11CFA7F4" w:rsidR="00812D16" w:rsidRPr="00F174D7" w:rsidRDefault="0070365C" w:rsidP="006B4557">
      <w:pPr>
        <w:rPr>
          <w:noProof/>
          <w:szCs w:val="22"/>
        </w:rPr>
      </w:pPr>
      <w:r>
        <w:rPr>
          <w:noProof/>
          <w:szCs w:val="22"/>
        </w:rPr>
        <w:t>September 2020.</w:t>
      </w:r>
    </w:p>
    <w:p w14:paraId="4CCD96D4" w14:textId="77777777" w:rsidR="00812D16" w:rsidRPr="00F174D7" w:rsidRDefault="00812D16" w:rsidP="006B4557">
      <w:pPr>
        <w:numPr>
          <w:ilvl w:val="12"/>
          <w:numId w:val="0"/>
        </w:numPr>
        <w:ind w:right="-2"/>
        <w:rPr>
          <w:iCs/>
          <w:noProof/>
          <w:szCs w:val="22"/>
        </w:rPr>
      </w:pPr>
    </w:p>
    <w:p w14:paraId="062014EB" w14:textId="77777777" w:rsidR="00812D16" w:rsidRPr="00F174D7" w:rsidRDefault="00812D16" w:rsidP="006B4557">
      <w:pPr>
        <w:rPr>
          <w:noProof/>
          <w:szCs w:val="22"/>
        </w:rPr>
      </w:pPr>
    </w:p>
    <w:p w14:paraId="17CF1CF1" w14:textId="77777777" w:rsidR="008929AA" w:rsidRPr="00F174D7" w:rsidRDefault="008929AA" w:rsidP="006B4557">
      <w:pPr>
        <w:numPr>
          <w:ilvl w:val="12"/>
          <w:numId w:val="0"/>
        </w:numPr>
        <w:ind w:right="-2"/>
        <w:rPr>
          <w:noProof/>
          <w:szCs w:val="22"/>
        </w:rPr>
      </w:pPr>
    </w:p>
    <w:sectPr w:rsidR="008929AA" w:rsidRPr="00F174D7" w:rsidSect="00A25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134" w:bottom="1134" w:left="1134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3A52" w14:textId="77777777" w:rsidR="00847EF1" w:rsidRDefault="00847EF1">
      <w:r>
        <w:separator/>
      </w:r>
    </w:p>
  </w:endnote>
  <w:endnote w:type="continuationSeparator" w:id="0">
    <w:p w14:paraId="4521A752" w14:textId="77777777" w:rsidR="00847EF1" w:rsidRDefault="00847EF1">
      <w:r>
        <w:continuationSeparator/>
      </w:r>
    </w:p>
  </w:endnote>
  <w:endnote w:type="continuationNotice" w:id="1">
    <w:p w14:paraId="64BA447B" w14:textId="77777777" w:rsidR="00847EF1" w:rsidRDefault="00847E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E19B" w14:textId="77777777" w:rsidR="00847EF1" w:rsidRDefault="00847E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B8F5" w14:textId="429223F9" w:rsidR="00847EF1" w:rsidRDefault="00847EF1">
    <w:pPr>
      <w:pStyle w:val="Pieddepag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53677A">
      <w:rPr>
        <w:rStyle w:val="Numrodepage"/>
        <w:rFonts w:cs="Arial"/>
      </w:rPr>
      <w:t>9</w:t>
    </w:r>
    <w:r>
      <w:rPr>
        <w:rStyle w:val="Numrodepage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AF78" w14:textId="48D3E0B4" w:rsidR="00847EF1" w:rsidRDefault="00847EF1">
    <w:pPr>
      <w:pStyle w:val="Pieddepag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53677A">
      <w:rPr>
        <w:rStyle w:val="Numrodepage"/>
        <w:rFonts w:cs="Arial"/>
      </w:rPr>
      <w:t>1</w:t>
    </w:r>
    <w:r>
      <w:rPr>
        <w:rStyle w:val="Numrodepage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0B69" w14:textId="77777777" w:rsidR="00847EF1" w:rsidRDefault="00847EF1">
      <w:r>
        <w:separator/>
      </w:r>
    </w:p>
  </w:footnote>
  <w:footnote w:type="continuationSeparator" w:id="0">
    <w:p w14:paraId="5E6ECD87" w14:textId="77777777" w:rsidR="00847EF1" w:rsidRDefault="00847EF1">
      <w:r>
        <w:continuationSeparator/>
      </w:r>
    </w:p>
  </w:footnote>
  <w:footnote w:type="continuationNotice" w:id="1">
    <w:p w14:paraId="44240D0B" w14:textId="77777777" w:rsidR="00847EF1" w:rsidRDefault="00847E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056" w14:textId="77777777" w:rsidR="00847EF1" w:rsidRDefault="00847E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3F8B" w14:textId="77777777" w:rsidR="00847EF1" w:rsidRDefault="00847E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F1E1" w14:textId="77777777" w:rsidR="00847EF1" w:rsidRDefault="00847E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6550"/>
    <w:multiLevelType w:val="hybridMultilevel"/>
    <w:tmpl w:val="A11C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68D179D"/>
    <w:multiLevelType w:val="hybridMultilevel"/>
    <w:tmpl w:val="DD5835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35BD9"/>
    <w:multiLevelType w:val="hybridMultilevel"/>
    <w:tmpl w:val="DAD6C0E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260BE9"/>
    <w:multiLevelType w:val="hybridMultilevel"/>
    <w:tmpl w:val="83C0E3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8AE2E22"/>
    <w:multiLevelType w:val="hybridMultilevel"/>
    <w:tmpl w:val="D6506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10F11AF"/>
    <w:multiLevelType w:val="hybridMultilevel"/>
    <w:tmpl w:val="DD5835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148B"/>
    <w:multiLevelType w:val="hybridMultilevel"/>
    <w:tmpl w:val="AABEC10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74FDE"/>
    <w:multiLevelType w:val="hybridMultilevel"/>
    <w:tmpl w:val="D2A2100A"/>
    <w:lvl w:ilvl="0" w:tplc="C6AC3850">
      <w:start w:val="4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537F0A"/>
    <w:multiLevelType w:val="hybridMultilevel"/>
    <w:tmpl w:val="A71EAFD6"/>
    <w:lvl w:ilvl="0" w:tplc="483225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69E95A54"/>
    <w:multiLevelType w:val="hybridMultilevel"/>
    <w:tmpl w:val="3C18EFB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D407226"/>
    <w:multiLevelType w:val="hybridMultilevel"/>
    <w:tmpl w:val="99B6771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50F1"/>
    <w:multiLevelType w:val="hybridMultilevel"/>
    <w:tmpl w:val="64CEA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2"/>
  </w:num>
  <w:num w:numId="6">
    <w:abstractNumId w:val="18"/>
  </w:num>
  <w:num w:numId="7">
    <w:abstractNumId w:val="8"/>
  </w:num>
  <w:num w:numId="8">
    <w:abstractNumId w:val="12"/>
  </w:num>
  <w:num w:numId="9">
    <w:abstractNumId w:val="28"/>
  </w:num>
  <w:num w:numId="10">
    <w:abstractNumId w:val="1"/>
  </w:num>
  <w:num w:numId="11">
    <w:abstractNumId w:val="24"/>
  </w:num>
  <w:num w:numId="12">
    <w:abstractNumId w:val="10"/>
  </w:num>
  <w:num w:numId="13">
    <w:abstractNumId w:val="5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6"/>
  </w:num>
  <w:num w:numId="17">
    <w:abstractNumId w:val="16"/>
  </w:num>
  <w:num w:numId="18">
    <w:abstractNumId w:val="17"/>
  </w:num>
  <w:num w:numId="19">
    <w:abstractNumId w:val="29"/>
  </w:num>
  <w:num w:numId="20">
    <w:abstractNumId w:val="20"/>
  </w:num>
  <w:num w:numId="21">
    <w:abstractNumId w:val="27"/>
  </w:num>
  <w:num w:numId="22">
    <w:abstractNumId w:val="23"/>
  </w:num>
  <w:num w:numId="23">
    <w:abstractNumId w:val="7"/>
  </w:num>
  <w:num w:numId="24">
    <w:abstractNumId w:val="27"/>
  </w:num>
  <w:num w:numId="25">
    <w:abstractNumId w:val="3"/>
  </w:num>
  <w:num w:numId="26">
    <w:abstractNumId w:val="25"/>
  </w:num>
  <w:num w:numId="27">
    <w:abstractNumId w:val="13"/>
  </w:num>
  <w:num w:numId="28">
    <w:abstractNumId w:val="4"/>
  </w:num>
  <w:num w:numId="29">
    <w:abstractNumId w:val="9"/>
  </w:num>
  <w:num w:numId="30">
    <w:abstractNumId w:val="19"/>
  </w:num>
  <w:num w:numId="31">
    <w:abstractNumId w:val="6"/>
  </w:num>
  <w:num w:numId="32">
    <w:abstractNumId w:val="15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325"/>
    <w:rsid w:val="00001587"/>
    <w:rsid w:val="0000362A"/>
    <w:rsid w:val="00005701"/>
    <w:rsid w:val="00005CAA"/>
    <w:rsid w:val="00007528"/>
    <w:rsid w:val="0001164F"/>
    <w:rsid w:val="00014869"/>
    <w:rsid w:val="000150D3"/>
    <w:rsid w:val="000166C1"/>
    <w:rsid w:val="0002006B"/>
    <w:rsid w:val="00020AE8"/>
    <w:rsid w:val="00023A2C"/>
    <w:rsid w:val="00025EBE"/>
    <w:rsid w:val="00026BF2"/>
    <w:rsid w:val="000271F6"/>
    <w:rsid w:val="00030445"/>
    <w:rsid w:val="000318C7"/>
    <w:rsid w:val="00033D26"/>
    <w:rsid w:val="00033FDB"/>
    <w:rsid w:val="000344F6"/>
    <w:rsid w:val="00036FC3"/>
    <w:rsid w:val="00042263"/>
    <w:rsid w:val="00043505"/>
    <w:rsid w:val="00043C70"/>
    <w:rsid w:val="00044042"/>
    <w:rsid w:val="000474D2"/>
    <w:rsid w:val="000479C5"/>
    <w:rsid w:val="00050DFD"/>
    <w:rsid w:val="00053809"/>
    <w:rsid w:val="00053914"/>
    <w:rsid w:val="00054756"/>
    <w:rsid w:val="000560C5"/>
    <w:rsid w:val="00056C49"/>
    <w:rsid w:val="00056FE0"/>
    <w:rsid w:val="000603C8"/>
    <w:rsid w:val="000608A4"/>
    <w:rsid w:val="00060AA1"/>
    <w:rsid w:val="000631FD"/>
    <w:rsid w:val="000643D3"/>
    <w:rsid w:val="00067B16"/>
    <w:rsid w:val="00071F8A"/>
    <w:rsid w:val="00073E04"/>
    <w:rsid w:val="0007628D"/>
    <w:rsid w:val="00081DAB"/>
    <w:rsid w:val="00084B59"/>
    <w:rsid w:val="00087C3E"/>
    <w:rsid w:val="00092829"/>
    <w:rsid w:val="00092B09"/>
    <w:rsid w:val="0009351E"/>
    <w:rsid w:val="0009479A"/>
    <w:rsid w:val="00094AD6"/>
    <w:rsid w:val="00095D61"/>
    <w:rsid w:val="00095E44"/>
    <w:rsid w:val="00096D8D"/>
    <w:rsid w:val="0009755A"/>
    <w:rsid w:val="000A1232"/>
    <w:rsid w:val="000A40D0"/>
    <w:rsid w:val="000B0097"/>
    <w:rsid w:val="000B101F"/>
    <w:rsid w:val="000B1F4B"/>
    <w:rsid w:val="000B2F27"/>
    <w:rsid w:val="000B2F58"/>
    <w:rsid w:val="000B37A8"/>
    <w:rsid w:val="000B51D9"/>
    <w:rsid w:val="000C03FB"/>
    <w:rsid w:val="000C308F"/>
    <w:rsid w:val="000C5A4E"/>
    <w:rsid w:val="000C635D"/>
    <w:rsid w:val="000C7F49"/>
    <w:rsid w:val="000D1AEE"/>
    <w:rsid w:val="000D1F4F"/>
    <w:rsid w:val="000D4D07"/>
    <w:rsid w:val="000D7535"/>
    <w:rsid w:val="000D7C82"/>
    <w:rsid w:val="000E165D"/>
    <w:rsid w:val="000E1BAF"/>
    <w:rsid w:val="000E223E"/>
    <w:rsid w:val="000E2491"/>
    <w:rsid w:val="000E2EA9"/>
    <w:rsid w:val="000E46A3"/>
    <w:rsid w:val="000E4E88"/>
    <w:rsid w:val="000E5726"/>
    <w:rsid w:val="000E6C94"/>
    <w:rsid w:val="000F1BB2"/>
    <w:rsid w:val="000F217A"/>
    <w:rsid w:val="000F3F94"/>
    <w:rsid w:val="000F5B21"/>
    <w:rsid w:val="00103501"/>
    <w:rsid w:val="00103B2D"/>
    <w:rsid w:val="00103CD2"/>
    <w:rsid w:val="00104061"/>
    <w:rsid w:val="00107236"/>
    <w:rsid w:val="001101A2"/>
    <w:rsid w:val="001106F7"/>
    <w:rsid w:val="001108A9"/>
    <w:rsid w:val="00112EDA"/>
    <w:rsid w:val="00114174"/>
    <w:rsid w:val="00117C1D"/>
    <w:rsid w:val="00123688"/>
    <w:rsid w:val="00127F47"/>
    <w:rsid w:val="00133572"/>
    <w:rsid w:val="001364FB"/>
    <w:rsid w:val="001365F2"/>
    <w:rsid w:val="00136D7A"/>
    <w:rsid w:val="00141470"/>
    <w:rsid w:val="00141540"/>
    <w:rsid w:val="001449DF"/>
    <w:rsid w:val="0014569B"/>
    <w:rsid w:val="001470E0"/>
    <w:rsid w:val="00150060"/>
    <w:rsid w:val="00154C69"/>
    <w:rsid w:val="0015541C"/>
    <w:rsid w:val="0015704C"/>
    <w:rsid w:val="0015782D"/>
    <w:rsid w:val="00157895"/>
    <w:rsid w:val="00161701"/>
    <w:rsid w:val="00161E87"/>
    <w:rsid w:val="0016566C"/>
    <w:rsid w:val="001727F0"/>
    <w:rsid w:val="00172B06"/>
    <w:rsid w:val="0017347E"/>
    <w:rsid w:val="001752D8"/>
    <w:rsid w:val="00175931"/>
    <w:rsid w:val="00176B25"/>
    <w:rsid w:val="0018238B"/>
    <w:rsid w:val="00183419"/>
    <w:rsid w:val="0018394A"/>
    <w:rsid w:val="00184DCC"/>
    <w:rsid w:val="00186A9D"/>
    <w:rsid w:val="001874A6"/>
    <w:rsid w:val="0018765B"/>
    <w:rsid w:val="00190913"/>
    <w:rsid w:val="00193DD3"/>
    <w:rsid w:val="001948AA"/>
    <w:rsid w:val="001952D5"/>
    <w:rsid w:val="00195F65"/>
    <w:rsid w:val="001A07E2"/>
    <w:rsid w:val="001A2018"/>
    <w:rsid w:val="001A56F1"/>
    <w:rsid w:val="001A5D0E"/>
    <w:rsid w:val="001A61C6"/>
    <w:rsid w:val="001B01C8"/>
    <w:rsid w:val="001B04D0"/>
    <w:rsid w:val="001B0B52"/>
    <w:rsid w:val="001B13F6"/>
    <w:rsid w:val="001B1747"/>
    <w:rsid w:val="001B2D44"/>
    <w:rsid w:val="001B752A"/>
    <w:rsid w:val="001C12FB"/>
    <w:rsid w:val="001C2DB4"/>
    <w:rsid w:val="001C3228"/>
    <w:rsid w:val="001C35E9"/>
    <w:rsid w:val="001C36BD"/>
    <w:rsid w:val="001C3733"/>
    <w:rsid w:val="001C49B3"/>
    <w:rsid w:val="001C5B30"/>
    <w:rsid w:val="001D0090"/>
    <w:rsid w:val="001D3C05"/>
    <w:rsid w:val="001D6AF4"/>
    <w:rsid w:val="001D6E13"/>
    <w:rsid w:val="001E0CC1"/>
    <w:rsid w:val="001E1C10"/>
    <w:rsid w:val="001E3CC0"/>
    <w:rsid w:val="001E77C3"/>
    <w:rsid w:val="001F090B"/>
    <w:rsid w:val="001F180A"/>
    <w:rsid w:val="001F1A28"/>
    <w:rsid w:val="001F1AD0"/>
    <w:rsid w:val="001F35E8"/>
    <w:rsid w:val="001F4014"/>
    <w:rsid w:val="001F445E"/>
    <w:rsid w:val="001F6423"/>
    <w:rsid w:val="00201213"/>
    <w:rsid w:val="0020165E"/>
    <w:rsid w:val="0020272E"/>
    <w:rsid w:val="00202E50"/>
    <w:rsid w:val="00205180"/>
    <w:rsid w:val="00207F81"/>
    <w:rsid w:val="002109F4"/>
    <w:rsid w:val="00211FDA"/>
    <w:rsid w:val="00212931"/>
    <w:rsid w:val="00215FDA"/>
    <w:rsid w:val="002160C2"/>
    <w:rsid w:val="00222BB9"/>
    <w:rsid w:val="002258D6"/>
    <w:rsid w:val="002274FB"/>
    <w:rsid w:val="002309D2"/>
    <w:rsid w:val="00231B61"/>
    <w:rsid w:val="0023315B"/>
    <w:rsid w:val="002347FE"/>
    <w:rsid w:val="002371C6"/>
    <w:rsid w:val="0024178D"/>
    <w:rsid w:val="0024392B"/>
    <w:rsid w:val="002450C6"/>
    <w:rsid w:val="00245671"/>
    <w:rsid w:val="00245DCF"/>
    <w:rsid w:val="00245E09"/>
    <w:rsid w:val="00246C65"/>
    <w:rsid w:val="0024721F"/>
    <w:rsid w:val="00251A10"/>
    <w:rsid w:val="00252BFF"/>
    <w:rsid w:val="00253732"/>
    <w:rsid w:val="002542A8"/>
    <w:rsid w:val="00260A11"/>
    <w:rsid w:val="0026169A"/>
    <w:rsid w:val="00262763"/>
    <w:rsid w:val="00262D6D"/>
    <w:rsid w:val="00264BEA"/>
    <w:rsid w:val="00267850"/>
    <w:rsid w:val="00271032"/>
    <w:rsid w:val="00273E3E"/>
    <w:rsid w:val="00274147"/>
    <w:rsid w:val="0027485E"/>
    <w:rsid w:val="00275189"/>
    <w:rsid w:val="002756DC"/>
    <w:rsid w:val="00276412"/>
    <w:rsid w:val="00276437"/>
    <w:rsid w:val="00280053"/>
    <w:rsid w:val="0028063F"/>
    <w:rsid w:val="00280740"/>
    <w:rsid w:val="00283B02"/>
    <w:rsid w:val="00283C5D"/>
    <w:rsid w:val="002844B0"/>
    <w:rsid w:val="00284C4F"/>
    <w:rsid w:val="00286322"/>
    <w:rsid w:val="00296B03"/>
    <w:rsid w:val="00296C1F"/>
    <w:rsid w:val="002A41E6"/>
    <w:rsid w:val="002A4342"/>
    <w:rsid w:val="002A44C8"/>
    <w:rsid w:val="002A5A10"/>
    <w:rsid w:val="002A5E48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7D73"/>
    <w:rsid w:val="002C06E3"/>
    <w:rsid w:val="002C0801"/>
    <w:rsid w:val="002C145F"/>
    <w:rsid w:val="002C33B3"/>
    <w:rsid w:val="002C413D"/>
    <w:rsid w:val="002C44B0"/>
    <w:rsid w:val="002C4E07"/>
    <w:rsid w:val="002D0586"/>
    <w:rsid w:val="002D1023"/>
    <w:rsid w:val="002D1459"/>
    <w:rsid w:val="002D1470"/>
    <w:rsid w:val="002D21CF"/>
    <w:rsid w:val="002D3DB7"/>
    <w:rsid w:val="002D4705"/>
    <w:rsid w:val="002D4C83"/>
    <w:rsid w:val="002D5B65"/>
    <w:rsid w:val="002D6396"/>
    <w:rsid w:val="002D7E5E"/>
    <w:rsid w:val="002E07BA"/>
    <w:rsid w:val="002E07EF"/>
    <w:rsid w:val="002E0D06"/>
    <w:rsid w:val="002E1810"/>
    <w:rsid w:val="002E4E94"/>
    <w:rsid w:val="002F1F28"/>
    <w:rsid w:val="002F43CA"/>
    <w:rsid w:val="002F5689"/>
    <w:rsid w:val="002F57AA"/>
    <w:rsid w:val="002F6EF7"/>
    <w:rsid w:val="002F714C"/>
    <w:rsid w:val="002F77BF"/>
    <w:rsid w:val="003004A2"/>
    <w:rsid w:val="00303DD5"/>
    <w:rsid w:val="00307B74"/>
    <w:rsid w:val="0031019F"/>
    <w:rsid w:val="00310764"/>
    <w:rsid w:val="00311BFD"/>
    <w:rsid w:val="00314718"/>
    <w:rsid w:val="0031488A"/>
    <w:rsid w:val="003175E1"/>
    <w:rsid w:val="00320203"/>
    <w:rsid w:val="00322002"/>
    <w:rsid w:val="003247B0"/>
    <w:rsid w:val="00325E81"/>
    <w:rsid w:val="00326948"/>
    <w:rsid w:val="00327052"/>
    <w:rsid w:val="00332F12"/>
    <w:rsid w:val="0033486D"/>
    <w:rsid w:val="003367C4"/>
    <w:rsid w:val="00336D8E"/>
    <w:rsid w:val="003376B3"/>
    <w:rsid w:val="00345F9C"/>
    <w:rsid w:val="00347776"/>
    <w:rsid w:val="00351A91"/>
    <w:rsid w:val="003520C4"/>
    <w:rsid w:val="003533AE"/>
    <w:rsid w:val="0035374D"/>
    <w:rsid w:val="0035530B"/>
    <w:rsid w:val="00355E14"/>
    <w:rsid w:val="00357C5E"/>
    <w:rsid w:val="003608BD"/>
    <w:rsid w:val="00361280"/>
    <w:rsid w:val="003615F1"/>
    <w:rsid w:val="00361A6E"/>
    <w:rsid w:val="00361B97"/>
    <w:rsid w:val="00363D7F"/>
    <w:rsid w:val="0036655E"/>
    <w:rsid w:val="00367C66"/>
    <w:rsid w:val="003700B2"/>
    <w:rsid w:val="0037233D"/>
    <w:rsid w:val="003736EF"/>
    <w:rsid w:val="003737E3"/>
    <w:rsid w:val="00380A1A"/>
    <w:rsid w:val="00380D80"/>
    <w:rsid w:val="0038500E"/>
    <w:rsid w:val="0038761D"/>
    <w:rsid w:val="003906F8"/>
    <w:rsid w:val="003935EE"/>
    <w:rsid w:val="00393EE9"/>
    <w:rsid w:val="0039408A"/>
    <w:rsid w:val="003945F5"/>
    <w:rsid w:val="00394955"/>
    <w:rsid w:val="0039673D"/>
    <w:rsid w:val="003975DA"/>
    <w:rsid w:val="00397893"/>
    <w:rsid w:val="003A2407"/>
    <w:rsid w:val="003A2CF0"/>
    <w:rsid w:val="003A33D3"/>
    <w:rsid w:val="003A3880"/>
    <w:rsid w:val="003A4B52"/>
    <w:rsid w:val="003A5BC5"/>
    <w:rsid w:val="003A5D55"/>
    <w:rsid w:val="003A75E6"/>
    <w:rsid w:val="003B255B"/>
    <w:rsid w:val="003B3317"/>
    <w:rsid w:val="003B4B2F"/>
    <w:rsid w:val="003B52D4"/>
    <w:rsid w:val="003C1CA5"/>
    <w:rsid w:val="003C1EC7"/>
    <w:rsid w:val="003C3D8E"/>
    <w:rsid w:val="003C64A0"/>
    <w:rsid w:val="003C6F0B"/>
    <w:rsid w:val="003C7BA3"/>
    <w:rsid w:val="003D4E9C"/>
    <w:rsid w:val="003E0D78"/>
    <w:rsid w:val="003E1CB1"/>
    <w:rsid w:val="003E3A1D"/>
    <w:rsid w:val="003E6CA0"/>
    <w:rsid w:val="003F1F41"/>
    <w:rsid w:val="003F2FDE"/>
    <w:rsid w:val="003F330B"/>
    <w:rsid w:val="003F6FDF"/>
    <w:rsid w:val="004016F5"/>
    <w:rsid w:val="004045AA"/>
    <w:rsid w:val="0040549A"/>
    <w:rsid w:val="00405CC9"/>
    <w:rsid w:val="0040711E"/>
    <w:rsid w:val="00407D67"/>
    <w:rsid w:val="00412450"/>
    <w:rsid w:val="004130CD"/>
    <w:rsid w:val="004138DE"/>
    <w:rsid w:val="00413B39"/>
    <w:rsid w:val="00414B2F"/>
    <w:rsid w:val="00415E58"/>
    <w:rsid w:val="00416231"/>
    <w:rsid w:val="004164E5"/>
    <w:rsid w:val="004208AB"/>
    <w:rsid w:val="004219EF"/>
    <w:rsid w:val="00421A72"/>
    <w:rsid w:val="00424348"/>
    <w:rsid w:val="00426CD9"/>
    <w:rsid w:val="00430FEB"/>
    <w:rsid w:val="004310EE"/>
    <w:rsid w:val="00433677"/>
    <w:rsid w:val="004340D5"/>
    <w:rsid w:val="00434880"/>
    <w:rsid w:val="00434A21"/>
    <w:rsid w:val="0043526D"/>
    <w:rsid w:val="004460E9"/>
    <w:rsid w:val="0044613F"/>
    <w:rsid w:val="00447B6F"/>
    <w:rsid w:val="00453623"/>
    <w:rsid w:val="00453C11"/>
    <w:rsid w:val="004557B0"/>
    <w:rsid w:val="00457946"/>
    <w:rsid w:val="00457D8B"/>
    <w:rsid w:val="00460A17"/>
    <w:rsid w:val="00462F79"/>
    <w:rsid w:val="00463ECE"/>
    <w:rsid w:val="00470CB5"/>
    <w:rsid w:val="00471EAB"/>
    <w:rsid w:val="004723EE"/>
    <w:rsid w:val="00475A92"/>
    <w:rsid w:val="00477BB9"/>
    <w:rsid w:val="004859EE"/>
    <w:rsid w:val="00487366"/>
    <w:rsid w:val="004873E4"/>
    <w:rsid w:val="0049072C"/>
    <w:rsid w:val="00490FD1"/>
    <w:rsid w:val="00491AD2"/>
    <w:rsid w:val="004935C0"/>
    <w:rsid w:val="00493B43"/>
    <w:rsid w:val="004940B3"/>
    <w:rsid w:val="00494EB1"/>
    <w:rsid w:val="00496414"/>
    <w:rsid w:val="00497A38"/>
    <w:rsid w:val="004A45BD"/>
    <w:rsid w:val="004A4656"/>
    <w:rsid w:val="004A77B0"/>
    <w:rsid w:val="004B08A9"/>
    <w:rsid w:val="004B1CED"/>
    <w:rsid w:val="004B34A7"/>
    <w:rsid w:val="004B3B06"/>
    <w:rsid w:val="004B3EE8"/>
    <w:rsid w:val="004B4643"/>
    <w:rsid w:val="004B7F67"/>
    <w:rsid w:val="004C06BE"/>
    <w:rsid w:val="004C0938"/>
    <w:rsid w:val="004C1994"/>
    <w:rsid w:val="004C70FC"/>
    <w:rsid w:val="004D2675"/>
    <w:rsid w:val="004D4080"/>
    <w:rsid w:val="004E05FD"/>
    <w:rsid w:val="004E1A0D"/>
    <w:rsid w:val="004E23F5"/>
    <w:rsid w:val="004E5418"/>
    <w:rsid w:val="004E63E5"/>
    <w:rsid w:val="004E6B76"/>
    <w:rsid w:val="004F1437"/>
    <w:rsid w:val="004F3540"/>
    <w:rsid w:val="004F52DB"/>
    <w:rsid w:val="004F5624"/>
    <w:rsid w:val="004F5DA4"/>
    <w:rsid w:val="004F62B2"/>
    <w:rsid w:val="004F6424"/>
    <w:rsid w:val="005040CD"/>
    <w:rsid w:val="00505229"/>
    <w:rsid w:val="00507F98"/>
    <w:rsid w:val="005108A3"/>
    <w:rsid w:val="00510F6E"/>
    <w:rsid w:val="00511422"/>
    <w:rsid w:val="005118AE"/>
    <w:rsid w:val="0051587A"/>
    <w:rsid w:val="005158FA"/>
    <w:rsid w:val="005169AD"/>
    <w:rsid w:val="005208B9"/>
    <w:rsid w:val="005221F0"/>
    <w:rsid w:val="00524807"/>
    <w:rsid w:val="005252FE"/>
    <w:rsid w:val="00525FF9"/>
    <w:rsid w:val="00526092"/>
    <w:rsid w:val="00532C41"/>
    <w:rsid w:val="00532C54"/>
    <w:rsid w:val="00532D3F"/>
    <w:rsid w:val="0053386D"/>
    <w:rsid w:val="00534700"/>
    <w:rsid w:val="0053677A"/>
    <w:rsid w:val="0053791F"/>
    <w:rsid w:val="00547538"/>
    <w:rsid w:val="00553BFA"/>
    <w:rsid w:val="00554D05"/>
    <w:rsid w:val="0056077E"/>
    <w:rsid w:val="00560EDA"/>
    <w:rsid w:val="005629EE"/>
    <w:rsid w:val="005648FA"/>
    <w:rsid w:val="00564D50"/>
    <w:rsid w:val="00567346"/>
    <w:rsid w:val="0057371B"/>
    <w:rsid w:val="00575EB8"/>
    <w:rsid w:val="00582A9B"/>
    <w:rsid w:val="005832AB"/>
    <w:rsid w:val="0058437C"/>
    <w:rsid w:val="00592458"/>
    <w:rsid w:val="005935F4"/>
    <w:rsid w:val="00593E0A"/>
    <w:rsid w:val="005A167F"/>
    <w:rsid w:val="005A346E"/>
    <w:rsid w:val="005A73CF"/>
    <w:rsid w:val="005B31BD"/>
    <w:rsid w:val="005B3F6F"/>
    <w:rsid w:val="005B72BB"/>
    <w:rsid w:val="005B798B"/>
    <w:rsid w:val="005C1FAE"/>
    <w:rsid w:val="005C39E8"/>
    <w:rsid w:val="005C5660"/>
    <w:rsid w:val="005C72E3"/>
    <w:rsid w:val="005D4B68"/>
    <w:rsid w:val="005E11C1"/>
    <w:rsid w:val="005E2563"/>
    <w:rsid w:val="005E394C"/>
    <w:rsid w:val="005E42BF"/>
    <w:rsid w:val="005E4E70"/>
    <w:rsid w:val="005E65BB"/>
    <w:rsid w:val="005F0DA0"/>
    <w:rsid w:val="005F2767"/>
    <w:rsid w:val="005F4914"/>
    <w:rsid w:val="005F62B7"/>
    <w:rsid w:val="005F6869"/>
    <w:rsid w:val="005F6BB9"/>
    <w:rsid w:val="00603148"/>
    <w:rsid w:val="00606FC7"/>
    <w:rsid w:val="00610456"/>
    <w:rsid w:val="00611473"/>
    <w:rsid w:val="00611489"/>
    <w:rsid w:val="00611B36"/>
    <w:rsid w:val="00613A34"/>
    <w:rsid w:val="00615ADA"/>
    <w:rsid w:val="006221CD"/>
    <w:rsid w:val="006266A9"/>
    <w:rsid w:val="00630426"/>
    <w:rsid w:val="006316C1"/>
    <w:rsid w:val="00631ED4"/>
    <w:rsid w:val="00633BC7"/>
    <w:rsid w:val="00635AC7"/>
    <w:rsid w:val="00635E9C"/>
    <w:rsid w:val="00637B41"/>
    <w:rsid w:val="006414EE"/>
    <w:rsid w:val="00642524"/>
    <w:rsid w:val="00642D0A"/>
    <w:rsid w:val="0064630E"/>
    <w:rsid w:val="00646FE1"/>
    <w:rsid w:val="00647075"/>
    <w:rsid w:val="0065581D"/>
    <w:rsid w:val="00655C2F"/>
    <w:rsid w:val="00660403"/>
    <w:rsid w:val="00661140"/>
    <w:rsid w:val="006710DD"/>
    <w:rsid w:val="00673200"/>
    <w:rsid w:val="0067501E"/>
    <w:rsid w:val="006773D2"/>
    <w:rsid w:val="0067792F"/>
    <w:rsid w:val="00680581"/>
    <w:rsid w:val="00681A41"/>
    <w:rsid w:val="006821B2"/>
    <w:rsid w:val="006838C0"/>
    <w:rsid w:val="00683C79"/>
    <w:rsid w:val="00685901"/>
    <w:rsid w:val="00685BB9"/>
    <w:rsid w:val="0068664E"/>
    <w:rsid w:val="00690127"/>
    <w:rsid w:val="00691BFF"/>
    <w:rsid w:val="006953C1"/>
    <w:rsid w:val="00696EB2"/>
    <w:rsid w:val="006A16E9"/>
    <w:rsid w:val="006A5450"/>
    <w:rsid w:val="006B0199"/>
    <w:rsid w:val="006B0A32"/>
    <w:rsid w:val="006B0BD8"/>
    <w:rsid w:val="006B4557"/>
    <w:rsid w:val="006B7A5C"/>
    <w:rsid w:val="006C0251"/>
    <w:rsid w:val="006C2B9A"/>
    <w:rsid w:val="006C39BB"/>
    <w:rsid w:val="006C4502"/>
    <w:rsid w:val="006C6114"/>
    <w:rsid w:val="006C7BF0"/>
    <w:rsid w:val="006D2288"/>
    <w:rsid w:val="006D4464"/>
    <w:rsid w:val="006D4823"/>
    <w:rsid w:val="006D5E91"/>
    <w:rsid w:val="006E14E6"/>
    <w:rsid w:val="006E1AEE"/>
    <w:rsid w:val="006E2F52"/>
    <w:rsid w:val="006E32A9"/>
    <w:rsid w:val="006E3B9C"/>
    <w:rsid w:val="006E5073"/>
    <w:rsid w:val="006E51A2"/>
    <w:rsid w:val="006F0DE2"/>
    <w:rsid w:val="006F11BD"/>
    <w:rsid w:val="006F25B4"/>
    <w:rsid w:val="006F32C7"/>
    <w:rsid w:val="006F3495"/>
    <w:rsid w:val="006F417D"/>
    <w:rsid w:val="006F5C83"/>
    <w:rsid w:val="006F67CC"/>
    <w:rsid w:val="006F6B89"/>
    <w:rsid w:val="00701C2D"/>
    <w:rsid w:val="00702162"/>
    <w:rsid w:val="0070365C"/>
    <w:rsid w:val="00703930"/>
    <w:rsid w:val="0070610E"/>
    <w:rsid w:val="00707759"/>
    <w:rsid w:val="00710081"/>
    <w:rsid w:val="00710B0D"/>
    <w:rsid w:val="00713CB5"/>
    <w:rsid w:val="00714E3F"/>
    <w:rsid w:val="0071558B"/>
    <w:rsid w:val="0071776A"/>
    <w:rsid w:val="00721189"/>
    <w:rsid w:val="007221C3"/>
    <w:rsid w:val="00722F2C"/>
    <w:rsid w:val="00723205"/>
    <w:rsid w:val="007254D1"/>
    <w:rsid w:val="0072574C"/>
    <w:rsid w:val="00725B32"/>
    <w:rsid w:val="00725B3C"/>
    <w:rsid w:val="00733D54"/>
    <w:rsid w:val="00736A4F"/>
    <w:rsid w:val="00737753"/>
    <w:rsid w:val="00737768"/>
    <w:rsid w:val="00740CE9"/>
    <w:rsid w:val="007428E3"/>
    <w:rsid w:val="0074394E"/>
    <w:rsid w:val="0074422D"/>
    <w:rsid w:val="00750D0A"/>
    <w:rsid w:val="00751D93"/>
    <w:rsid w:val="00752300"/>
    <w:rsid w:val="00753BF5"/>
    <w:rsid w:val="007546F8"/>
    <w:rsid w:val="0075579B"/>
    <w:rsid w:val="00755BAB"/>
    <w:rsid w:val="0076080E"/>
    <w:rsid w:val="0076411D"/>
    <w:rsid w:val="007670F8"/>
    <w:rsid w:val="007671D4"/>
    <w:rsid w:val="00770A85"/>
    <w:rsid w:val="00773DC9"/>
    <w:rsid w:val="0077572E"/>
    <w:rsid w:val="00777BE4"/>
    <w:rsid w:val="0078031B"/>
    <w:rsid w:val="00784F44"/>
    <w:rsid w:val="00786672"/>
    <w:rsid w:val="007872CF"/>
    <w:rsid w:val="00790B5E"/>
    <w:rsid w:val="0079201C"/>
    <w:rsid w:val="0079307F"/>
    <w:rsid w:val="007940C5"/>
    <w:rsid w:val="007947C4"/>
    <w:rsid w:val="00795CE1"/>
    <w:rsid w:val="007A0646"/>
    <w:rsid w:val="007A06AC"/>
    <w:rsid w:val="007A2C5F"/>
    <w:rsid w:val="007A4636"/>
    <w:rsid w:val="007B1014"/>
    <w:rsid w:val="007B103F"/>
    <w:rsid w:val="007B1484"/>
    <w:rsid w:val="007B1A10"/>
    <w:rsid w:val="007B31AB"/>
    <w:rsid w:val="007B3268"/>
    <w:rsid w:val="007B42D3"/>
    <w:rsid w:val="007B46D9"/>
    <w:rsid w:val="007B6659"/>
    <w:rsid w:val="007B6C39"/>
    <w:rsid w:val="007B76AB"/>
    <w:rsid w:val="007B7DBD"/>
    <w:rsid w:val="007C3472"/>
    <w:rsid w:val="007C45D3"/>
    <w:rsid w:val="007C597B"/>
    <w:rsid w:val="007C760C"/>
    <w:rsid w:val="007D08FD"/>
    <w:rsid w:val="007D0F69"/>
    <w:rsid w:val="007D1584"/>
    <w:rsid w:val="007D2044"/>
    <w:rsid w:val="007D4F33"/>
    <w:rsid w:val="007D554B"/>
    <w:rsid w:val="007D65C7"/>
    <w:rsid w:val="007D74D2"/>
    <w:rsid w:val="007D79B5"/>
    <w:rsid w:val="007E0458"/>
    <w:rsid w:val="007E2334"/>
    <w:rsid w:val="007E23CE"/>
    <w:rsid w:val="007E2CE7"/>
    <w:rsid w:val="007E43D0"/>
    <w:rsid w:val="007E4656"/>
    <w:rsid w:val="007E4F00"/>
    <w:rsid w:val="007E54F8"/>
    <w:rsid w:val="007E5987"/>
    <w:rsid w:val="007E5BD8"/>
    <w:rsid w:val="007E7BF9"/>
    <w:rsid w:val="007F02BC"/>
    <w:rsid w:val="007F1D17"/>
    <w:rsid w:val="007F20D7"/>
    <w:rsid w:val="007F2E65"/>
    <w:rsid w:val="007F43BA"/>
    <w:rsid w:val="007F45D1"/>
    <w:rsid w:val="007F64BE"/>
    <w:rsid w:val="007F666B"/>
    <w:rsid w:val="007F6DC3"/>
    <w:rsid w:val="008006B4"/>
    <w:rsid w:val="008015B6"/>
    <w:rsid w:val="00803FD4"/>
    <w:rsid w:val="0080481C"/>
    <w:rsid w:val="00804931"/>
    <w:rsid w:val="00804C54"/>
    <w:rsid w:val="008056DD"/>
    <w:rsid w:val="00806C23"/>
    <w:rsid w:val="008078B6"/>
    <w:rsid w:val="0081104C"/>
    <w:rsid w:val="008121F2"/>
    <w:rsid w:val="00812D16"/>
    <w:rsid w:val="00816C51"/>
    <w:rsid w:val="00821865"/>
    <w:rsid w:val="008225EB"/>
    <w:rsid w:val="0082327D"/>
    <w:rsid w:val="00823515"/>
    <w:rsid w:val="0082433D"/>
    <w:rsid w:val="00826509"/>
    <w:rsid w:val="0083354D"/>
    <w:rsid w:val="0083561B"/>
    <w:rsid w:val="00837D78"/>
    <w:rsid w:val="00840D79"/>
    <w:rsid w:val="00842A21"/>
    <w:rsid w:val="00845DAD"/>
    <w:rsid w:val="00847EF1"/>
    <w:rsid w:val="00851377"/>
    <w:rsid w:val="0085437C"/>
    <w:rsid w:val="00854B2F"/>
    <w:rsid w:val="00855481"/>
    <w:rsid w:val="00856354"/>
    <w:rsid w:val="008568E1"/>
    <w:rsid w:val="00856BE9"/>
    <w:rsid w:val="008578F8"/>
    <w:rsid w:val="00860566"/>
    <w:rsid w:val="0086165C"/>
    <w:rsid w:val="00861B26"/>
    <w:rsid w:val="00862EED"/>
    <w:rsid w:val="008643FC"/>
    <w:rsid w:val="008649B9"/>
    <w:rsid w:val="0086784F"/>
    <w:rsid w:val="00870394"/>
    <w:rsid w:val="0087073B"/>
    <w:rsid w:val="00873967"/>
    <w:rsid w:val="008770D4"/>
    <w:rsid w:val="008800E5"/>
    <w:rsid w:val="0088127F"/>
    <w:rsid w:val="008815EF"/>
    <w:rsid w:val="00885273"/>
    <w:rsid w:val="00885F2C"/>
    <w:rsid w:val="00886386"/>
    <w:rsid w:val="0088701C"/>
    <w:rsid w:val="00892459"/>
    <w:rsid w:val="008929AA"/>
    <w:rsid w:val="00892AA5"/>
    <w:rsid w:val="0089499B"/>
    <w:rsid w:val="00894ACA"/>
    <w:rsid w:val="00894EC5"/>
    <w:rsid w:val="00896658"/>
    <w:rsid w:val="008967B5"/>
    <w:rsid w:val="008A03AC"/>
    <w:rsid w:val="008A1008"/>
    <w:rsid w:val="008A345A"/>
    <w:rsid w:val="008A3DB9"/>
    <w:rsid w:val="008A6A5C"/>
    <w:rsid w:val="008A7316"/>
    <w:rsid w:val="008B270F"/>
    <w:rsid w:val="008B4A1C"/>
    <w:rsid w:val="008B500A"/>
    <w:rsid w:val="008B58DE"/>
    <w:rsid w:val="008C1610"/>
    <w:rsid w:val="008C2F1E"/>
    <w:rsid w:val="008C30E5"/>
    <w:rsid w:val="008C3B5B"/>
    <w:rsid w:val="008C409F"/>
    <w:rsid w:val="008C602D"/>
    <w:rsid w:val="008C6BCC"/>
    <w:rsid w:val="008D098D"/>
    <w:rsid w:val="008D11D1"/>
    <w:rsid w:val="008D135A"/>
    <w:rsid w:val="008D2205"/>
    <w:rsid w:val="008D2331"/>
    <w:rsid w:val="008D347F"/>
    <w:rsid w:val="008D35AD"/>
    <w:rsid w:val="008D36CD"/>
    <w:rsid w:val="008D4380"/>
    <w:rsid w:val="008D48D1"/>
    <w:rsid w:val="008D4CB9"/>
    <w:rsid w:val="008D6BE8"/>
    <w:rsid w:val="008E27E9"/>
    <w:rsid w:val="008E42DE"/>
    <w:rsid w:val="008F2C49"/>
    <w:rsid w:val="008F36F0"/>
    <w:rsid w:val="008F66BC"/>
    <w:rsid w:val="008F7CFF"/>
    <w:rsid w:val="008F7ED1"/>
    <w:rsid w:val="00901C8D"/>
    <w:rsid w:val="00903422"/>
    <w:rsid w:val="00904A4D"/>
    <w:rsid w:val="00905643"/>
    <w:rsid w:val="00905EE9"/>
    <w:rsid w:val="009065E2"/>
    <w:rsid w:val="009065F4"/>
    <w:rsid w:val="009075A7"/>
    <w:rsid w:val="00907DFB"/>
    <w:rsid w:val="00910624"/>
    <w:rsid w:val="00910FBA"/>
    <w:rsid w:val="00911D39"/>
    <w:rsid w:val="00912B9F"/>
    <w:rsid w:val="00917C0F"/>
    <w:rsid w:val="0092040E"/>
    <w:rsid w:val="00920C6C"/>
    <w:rsid w:val="00921897"/>
    <w:rsid w:val="00921C6D"/>
    <w:rsid w:val="009227D9"/>
    <w:rsid w:val="009231D8"/>
    <w:rsid w:val="00923C44"/>
    <w:rsid w:val="00927791"/>
    <w:rsid w:val="00930607"/>
    <w:rsid w:val="00930D0A"/>
    <w:rsid w:val="009329BA"/>
    <w:rsid w:val="0093304D"/>
    <w:rsid w:val="00935372"/>
    <w:rsid w:val="00936939"/>
    <w:rsid w:val="0094053B"/>
    <w:rsid w:val="00942040"/>
    <w:rsid w:val="00942C9F"/>
    <w:rsid w:val="00945631"/>
    <w:rsid w:val="00947549"/>
    <w:rsid w:val="00947CF3"/>
    <w:rsid w:val="0095793C"/>
    <w:rsid w:val="0096111E"/>
    <w:rsid w:val="00961125"/>
    <w:rsid w:val="009623D8"/>
    <w:rsid w:val="00963362"/>
    <w:rsid w:val="00963BD1"/>
    <w:rsid w:val="00965C35"/>
    <w:rsid w:val="00966B1F"/>
    <w:rsid w:val="00970A7E"/>
    <w:rsid w:val="0097116E"/>
    <w:rsid w:val="00974518"/>
    <w:rsid w:val="00980FE0"/>
    <w:rsid w:val="00985F8B"/>
    <w:rsid w:val="00990C3B"/>
    <w:rsid w:val="00991CBD"/>
    <w:rsid w:val="009921E6"/>
    <w:rsid w:val="00992338"/>
    <w:rsid w:val="009928B7"/>
    <w:rsid w:val="0099321A"/>
    <w:rsid w:val="009947E8"/>
    <w:rsid w:val="009960B7"/>
    <w:rsid w:val="00996F08"/>
    <w:rsid w:val="009972FE"/>
    <w:rsid w:val="009B536C"/>
    <w:rsid w:val="009B5C19"/>
    <w:rsid w:val="009B6496"/>
    <w:rsid w:val="009C01DA"/>
    <w:rsid w:val="009C1528"/>
    <w:rsid w:val="009C20CC"/>
    <w:rsid w:val="009C2BDF"/>
    <w:rsid w:val="009C3558"/>
    <w:rsid w:val="009C562E"/>
    <w:rsid w:val="009C5E44"/>
    <w:rsid w:val="009C7531"/>
    <w:rsid w:val="009D220C"/>
    <w:rsid w:val="009D221F"/>
    <w:rsid w:val="009E09F0"/>
    <w:rsid w:val="009E19E8"/>
    <w:rsid w:val="009E377C"/>
    <w:rsid w:val="009E39F6"/>
    <w:rsid w:val="009E411C"/>
    <w:rsid w:val="009E458A"/>
    <w:rsid w:val="009E5316"/>
    <w:rsid w:val="009E5D7C"/>
    <w:rsid w:val="009E5DFC"/>
    <w:rsid w:val="009F1789"/>
    <w:rsid w:val="009F2E3B"/>
    <w:rsid w:val="009F36D2"/>
    <w:rsid w:val="009F3B6B"/>
    <w:rsid w:val="009F4504"/>
    <w:rsid w:val="009F502C"/>
    <w:rsid w:val="009F603B"/>
    <w:rsid w:val="009F6987"/>
    <w:rsid w:val="009F720F"/>
    <w:rsid w:val="00A010E7"/>
    <w:rsid w:val="00A01A17"/>
    <w:rsid w:val="00A01A60"/>
    <w:rsid w:val="00A06E6E"/>
    <w:rsid w:val="00A076F9"/>
    <w:rsid w:val="00A07997"/>
    <w:rsid w:val="00A07F87"/>
    <w:rsid w:val="00A13659"/>
    <w:rsid w:val="00A1637F"/>
    <w:rsid w:val="00A206ED"/>
    <w:rsid w:val="00A20806"/>
    <w:rsid w:val="00A20C7F"/>
    <w:rsid w:val="00A21D41"/>
    <w:rsid w:val="00A2246F"/>
    <w:rsid w:val="00A22DBA"/>
    <w:rsid w:val="00A2329D"/>
    <w:rsid w:val="00A2490E"/>
    <w:rsid w:val="00A25442"/>
    <w:rsid w:val="00A25BFF"/>
    <w:rsid w:val="00A26648"/>
    <w:rsid w:val="00A26F79"/>
    <w:rsid w:val="00A27522"/>
    <w:rsid w:val="00A3136F"/>
    <w:rsid w:val="00A34D0C"/>
    <w:rsid w:val="00A34D76"/>
    <w:rsid w:val="00A365D0"/>
    <w:rsid w:val="00A402B8"/>
    <w:rsid w:val="00A4043E"/>
    <w:rsid w:val="00A437D9"/>
    <w:rsid w:val="00A43C16"/>
    <w:rsid w:val="00A443A6"/>
    <w:rsid w:val="00A45A1A"/>
    <w:rsid w:val="00A45E61"/>
    <w:rsid w:val="00A47F32"/>
    <w:rsid w:val="00A53220"/>
    <w:rsid w:val="00A538E6"/>
    <w:rsid w:val="00A56102"/>
    <w:rsid w:val="00A56800"/>
    <w:rsid w:val="00A56D7E"/>
    <w:rsid w:val="00A57404"/>
    <w:rsid w:val="00A575BD"/>
    <w:rsid w:val="00A60469"/>
    <w:rsid w:val="00A60EEC"/>
    <w:rsid w:val="00A63B83"/>
    <w:rsid w:val="00A65BD9"/>
    <w:rsid w:val="00A66718"/>
    <w:rsid w:val="00A671EF"/>
    <w:rsid w:val="00A67D54"/>
    <w:rsid w:val="00A70B31"/>
    <w:rsid w:val="00A73A74"/>
    <w:rsid w:val="00A74EB3"/>
    <w:rsid w:val="00A759FE"/>
    <w:rsid w:val="00A75FE1"/>
    <w:rsid w:val="00A76D67"/>
    <w:rsid w:val="00A77562"/>
    <w:rsid w:val="00A776B8"/>
    <w:rsid w:val="00A81EB6"/>
    <w:rsid w:val="00A837FE"/>
    <w:rsid w:val="00A85357"/>
    <w:rsid w:val="00A902DD"/>
    <w:rsid w:val="00A91617"/>
    <w:rsid w:val="00A96FA8"/>
    <w:rsid w:val="00A9770A"/>
    <w:rsid w:val="00AA0A43"/>
    <w:rsid w:val="00AA0DD3"/>
    <w:rsid w:val="00AA1C07"/>
    <w:rsid w:val="00AA3688"/>
    <w:rsid w:val="00AA5887"/>
    <w:rsid w:val="00AB19F8"/>
    <w:rsid w:val="00AB2A61"/>
    <w:rsid w:val="00AB3A12"/>
    <w:rsid w:val="00AB5A8D"/>
    <w:rsid w:val="00AB6642"/>
    <w:rsid w:val="00AC2EFE"/>
    <w:rsid w:val="00AC3930"/>
    <w:rsid w:val="00AC3AB1"/>
    <w:rsid w:val="00AC569E"/>
    <w:rsid w:val="00AC6198"/>
    <w:rsid w:val="00AC68C6"/>
    <w:rsid w:val="00AC79C1"/>
    <w:rsid w:val="00AC7CA4"/>
    <w:rsid w:val="00AD493B"/>
    <w:rsid w:val="00AD4A64"/>
    <w:rsid w:val="00AD4D4E"/>
    <w:rsid w:val="00AD520C"/>
    <w:rsid w:val="00AD598F"/>
    <w:rsid w:val="00AD6D09"/>
    <w:rsid w:val="00AE07DA"/>
    <w:rsid w:val="00AE098E"/>
    <w:rsid w:val="00AE0BBA"/>
    <w:rsid w:val="00AE2291"/>
    <w:rsid w:val="00AE25C8"/>
    <w:rsid w:val="00AE4113"/>
    <w:rsid w:val="00AE4380"/>
    <w:rsid w:val="00AE4FAC"/>
    <w:rsid w:val="00AE5525"/>
    <w:rsid w:val="00AE6381"/>
    <w:rsid w:val="00AE656F"/>
    <w:rsid w:val="00AE7D78"/>
    <w:rsid w:val="00AF41F6"/>
    <w:rsid w:val="00AF438E"/>
    <w:rsid w:val="00AF45CA"/>
    <w:rsid w:val="00AF5CEE"/>
    <w:rsid w:val="00AF7506"/>
    <w:rsid w:val="00B007DD"/>
    <w:rsid w:val="00B0098A"/>
    <w:rsid w:val="00B01016"/>
    <w:rsid w:val="00B0146E"/>
    <w:rsid w:val="00B02160"/>
    <w:rsid w:val="00B027CB"/>
    <w:rsid w:val="00B0352B"/>
    <w:rsid w:val="00B04ECC"/>
    <w:rsid w:val="00B052A3"/>
    <w:rsid w:val="00B073E6"/>
    <w:rsid w:val="00B074F8"/>
    <w:rsid w:val="00B11A3D"/>
    <w:rsid w:val="00B121B0"/>
    <w:rsid w:val="00B13B87"/>
    <w:rsid w:val="00B17FAB"/>
    <w:rsid w:val="00B22C5F"/>
    <w:rsid w:val="00B23687"/>
    <w:rsid w:val="00B25710"/>
    <w:rsid w:val="00B27B03"/>
    <w:rsid w:val="00B31B62"/>
    <w:rsid w:val="00B3208E"/>
    <w:rsid w:val="00B33711"/>
    <w:rsid w:val="00B34889"/>
    <w:rsid w:val="00B358AD"/>
    <w:rsid w:val="00B37550"/>
    <w:rsid w:val="00B402C6"/>
    <w:rsid w:val="00B41DC1"/>
    <w:rsid w:val="00B42F69"/>
    <w:rsid w:val="00B44A18"/>
    <w:rsid w:val="00B46EC7"/>
    <w:rsid w:val="00B50018"/>
    <w:rsid w:val="00B50A91"/>
    <w:rsid w:val="00B5160B"/>
    <w:rsid w:val="00B51761"/>
    <w:rsid w:val="00B51871"/>
    <w:rsid w:val="00B52022"/>
    <w:rsid w:val="00B52187"/>
    <w:rsid w:val="00B54691"/>
    <w:rsid w:val="00B57F3A"/>
    <w:rsid w:val="00B57F9A"/>
    <w:rsid w:val="00B60CCD"/>
    <w:rsid w:val="00B62854"/>
    <w:rsid w:val="00B62EF1"/>
    <w:rsid w:val="00B640CC"/>
    <w:rsid w:val="00B645B6"/>
    <w:rsid w:val="00B64B2F"/>
    <w:rsid w:val="00B667BF"/>
    <w:rsid w:val="00B674D6"/>
    <w:rsid w:val="00B6797D"/>
    <w:rsid w:val="00B735B8"/>
    <w:rsid w:val="00B74858"/>
    <w:rsid w:val="00B74C10"/>
    <w:rsid w:val="00B752EB"/>
    <w:rsid w:val="00B77BE4"/>
    <w:rsid w:val="00B812BE"/>
    <w:rsid w:val="00B813D5"/>
    <w:rsid w:val="00B8258D"/>
    <w:rsid w:val="00B825B4"/>
    <w:rsid w:val="00B84E7E"/>
    <w:rsid w:val="00B86608"/>
    <w:rsid w:val="00B87847"/>
    <w:rsid w:val="00B90477"/>
    <w:rsid w:val="00B92AA5"/>
    <w:rsid w:val="00B93904"/>
    <w:rsid w:val="00B955FE"/>
    <w:rsid w:val="00B96744"/>
    <w:rsid w:val="00BA0B9F"/>
    <w:rsid w:val="00BA3287"/>
    <w:rsid w:val="00BA51E3"/>
    <w:rsid w:val="00BA6419"/>
    <w:rsid w:val="00BA6550"/>
    <w:rsid w:val="00BB1615"/>
    <w:rsid w:val="00BB16F1"/>
    <w:rsid w:val="00BB3642"/>
    <w:rsid w:val="00BB4A3B"/>
    <w:rsid w:val="00BB4F4D"/>
    <w:rsid w:val="00BB59F6"/>
    <w:rsid w:val="00BB5EF0"/>
    <w:rsid w:val="00BB66AB"/>
    <w:rsid w:val="00BB68F7"/>
    <w:rsid w:val="00BC0AD6"/>
    <w:rsid w:val="00BC122E"/>
    <w:rsid w:val="00BC3584"/>
    <w:rsid w:val="00BC37B6"/>
    <w:rsid w:val="00BC5838"/>
    <w:rsid w:val="00BC6DC2"/>
    <w:rsid w:val="00BD3750"/>
    <w:rsid w:val="00BE4E9E"/>
    <w:rsid w:val="00BE4ED6"/>
    <w:rsid w:val="00BE54F3"/>
    <w:rsid w:val="00BE5F67"/>
    <w:rsid w:val="00BE7920"/>
    <w:rsid w:val="00BF1E46"/>
    <w:rsid w:val="00BF2CD1"/>
    <w:rsid w:val="00BF4B6A"/>
    <w:rsid w:val="00BF5135"/>
    <w:rsid w:val="00C00312"/>
    <w:rsid w:val="00C009F5"/>
    <w:rsid w:val="00C01129"/>
    <w:rsid w:val="00C02239"/>
    <w:rsid w:val="00C022E1"/>
    <w:rsid w:val="00C0398D"/>
    <w:rsid w:val="00C05C3D"/>
    <w:rsid w:val="00C071AC"/>
    <w:rsid w:val="00C109A2"/>
    <w:rsid w:val="00C11E4C"/>
    <w:rsid w:val="00C14954"/>
    <w:rsid w:val="00C179B0"/>
    <w:rsid w:val="00C20245"/>
    <w:rsid w:val="00C20CA6"/>
    <w:rsid w:val="00C226F9"/>
    <w:rsid w:val="00C23243"/>
    <w:rsid w:val="00C23398"/>
    <w:rsid w:val="00C23B23"/>
    <w:rsid w:val="00C2428B"/>
    <w:rsid w:val="00C26035"/>
    <w:rsid w:val="00C26C22"/>
    <w:rsid w:val="00C27B03"/>
    <w:rsid w:val="00C3089B"/>
    <w:rsid w:val="00C32950"/>
    <w:rsid w:val="00C34B40"/>
    <w:rsid w:val="00C35836"/>
    <w:rsid w:val="00C41CD3"/>
    <w:rsid w:val="00C43438"/>
    <w:rsid w:val="00C44264"/>
    <w:rsid w:val="00C46251"/>
    <w:rsid w:val="00C4790F"/>
    <w:rsid w:val="00C47FC0"/>
    <w:rsid w:val="00C5189F"/>
    <w:rsid w:val="00C528CC"/>
    <w:rsid w:val="00C53ABD"/>
    <w:rsid w:val="00C53AD3"/>
    <w:rsid w:val="00C53C94"/>
    <w:rsid w:val="00C57741"/>
    <w:rsid w:val="00C60218"/>
    <w:rsid w:val="00C6074F"/>
    <w:rsid w:val="00C62568"/>
    <w:rsid w:val="00C64143"/>
    <w:rsid w:val="00C6434D"/>
    <w:rsid w:val="00C652E5"/>
    <w:rsid w:val="00C67446"/>
    <w:rsid w:val="00C70962"/>
    <w:rsid w:val="00C71674"/>
    <w:rsid w:val="00C761BD"/>
    <w:rsid w:val="00C7697F"/>
    <w:rsid w:val="00C8136C"/>
    <w:rsid w:val="00C82FAC"/>
    <w:rsid w:val="00C82FFA"/>
    <w:rsid w:val="00C83B5A"/>
    <w:rsid w:val="00C84A1B"/>
    <w:rsid w:val="00C85521"/>
    <w:rsid w:val="00C856C0"/>
    <w:rsid w:val="00C863EE"/>
    <w:rsid w:val="00C864FB"/>
    <w:rsid w:val="00C92646"/>
    <w:rsid w:val="00C9316A"/>
    <w:rsid w:val="00C93B5E"/>
    <w:rsid w:val="00C95D8D"/>
    <w:rsid w:val="00C97C7F"/>
    <w:rsid w:val="00CA2283"/>
    <w:rsid w:val="00CA2AEF"/>
    <w:rsid w:val="00CA325F"/>
    <w:rsid w:val="00CA33B8"/>
    <w:rsid w:val="00CB1582"/>
    <w:rsid w:val="00CB22B7"/>
    <w:rsid w:val="00CB31DA"/>
    <w:rsid w:val="00CB5032"/>
    <w:rsid w:val="00CB7DF6"/>
    <w:rsid w:val="00CC0F48"/>
    <w:rsid w:val="00CC303F"/>
    <w:rsid w:val="00CC3C96"/>
    <w:rsid w:val="00CD077C"/>
    <w:rsid w:val="00CD342A"/>
    <w:rsid w:val="00CD3940"/>
    <w:rsid w:val="00CE6A0B"/>
    <w:rsid w:val="00CF0950"/>
    <w:rsid w:val="00CF3B07"/>
    <w:rsid w:val="00CF4C13"/>
    <w:rsid w:val="00CF4CEC"/>
    <w:rsid w:val="00CF62E0"/>
    <w:rsid w:val="00CF6384"/>
    <w:rsid w:val="00CF6902"/>
    <w:rsid w:val="00D0522E"/>
    <w:rsid w:val="00D06E88"/>
    <w:rsid w:val="00D10A64"/>
    <w:rsid w:val="00D11F90"/>
    <w:rsid w:val="00D127DA"/>
    <w:rsid w:val="00D13527"/>
    <w:rsid w:val="00D15E4E"/>
    <w:rsid w:val="00D17601"/>
    <w:rsid w:val="00D20D6E"/>
    <w:rsid w:val="00D21300"/>
    <w:rsid w:val="00D223D3"/>
    <w:rsid w:val="00D22EB7"/>
    <w:rsid w:val="00D22F7B"/>
    <w:rsid w:val="00D230DC"/>
    <w:rsid w:val="00D26C9A"/>
    <w:rsid w:val="00D303E8"/>
    <w:rsid w:val="00D31BA6"/>
    <w:rsid w:val="00D335E1"/>
    <w:rsid w:val="00D3545E"/>
    <w:rsid w:val="00D35FEA"/>
    <w:rsid w:val="00D366E4"/>
    <w:rsid w:val="00D423AC"/>
    <w:rsid w:val="00D44B15"/>
    <w:rsid w:val="00D44DC6"/>
    <w:rsid w:val="00D45488"/>
    <w:rsid w:val="00D476EA"/>
    <w:rsid w:val="00D514E5"/>
    <w:rsid w:val="00D53589"/>
    <w:rsid w:val="00D539D5"/>
    <w:rsid w:val="00D543CE"/>
    <w:rsid w:val="00D544D5"/>
    <w:rsid w:val="00D573B8"/>
    <w:rsid w:val="00D57897"/>
    <w:rsid w:val="00D602DE"/>
    <w:rsid w:val="00D6096A"/>
    <w:rsid w:val="00D60ABE"/>
    <w:rsid w:val="00D60CE5"/>
    <w:rsid w:val="00D61811"/>
    <w:rsid w:val="00D63F9F"/>
    <w:rsid w:val="00D646D3"/>
    <w:rsid w:val="00D662F2"/>
    <w:rsid w:val="00D665F1"/>
    <w:rsid w:val="00D6711E"/>
    <w:rsid w:val="00D73B08"/>
    <w:rsid w:val="00D80127"/>
    <w:rsid w:val="00D804E2"/>
    <w:rsid w:val="00D805D1"/>
    <w:rsid w:val="00D81FB3"/>
    <w:rsid w:val="00D82FD7"/>
    <w:rsid w:val="00D84FA6"/>
    <w:rsid w:val="00D85C5F"/>
    <w:rsid w:val="00D85ECC"/>
    <w:rsid w:val="00D864C7"/>
    <w:rsid w:val="00D86EB7"/>
    <w:rsid w:val="00D917DB"/>
    <w:rsid w:val="00D91E9F"/>
    <w:rsid w:val="00D92B5E"/>
    <w:rsid w:val="00D93388"/>
    <w:rsid w:val="00D93CFF"/>
    <w:rsid w:val="00D95457"/>
    <w:rsid w:val="00D97A7B"/>
    <w:rsid w:val="00DA1259"/>
    <w:rsid w:val="00DA1AAD"/>
    <w:rsid w:val="00DA1E08"/>
    <w:rsid w:val="00DA4A52"/>
    <w:rsid w:val="00DA4FBC"/>
    <w:rsid w:val="00DA7457"/>
    <w:rsid w:val="00DB1083"/>
    <w:rsid w:val="00DB17C9"/>
    <w:rsid w:val="00DB2995"/>
    <w:rsid w:val="00DB2ED0"/>
    <w:rsid w:val="00DB38F0"/>
    <w:rsid w:val="00DB3EE8"/>
    <w:rsid w:val="00DB4701"/>
    <w:rsid w:val="00DB4E76"/>
    <w:rsid w:val="00DB59C0"/>
    <w:rsid w:val="00DC0146"/>
    <w:rsid w:val="00DC03EE"/>
    <w:rsid w:val="00DC2BC3"/>
    <w:rsid w:val="00DC36B8"/>
    <w:rsid w:val="00DC53F2"/>
    <w:rsid w:val="00DC6B01"/>
    <w:rsid w:val="00DC7797"/>
    <w:rsid w:val="00DC7E53"/>
    <w:rsid w:val="00DD078A"/>
    <w:rsid w:val="00DD1737"/>
    <w:rsid w:val="00DD34E1"/>
    <w:rsid w:val="00DD45E7"/>
    <w:rsid w:val="00DD71F6"/>
    <w:rsid w:val="00DD7667"/>
    <w:rsid w:val="00DD777C"/>
    <w:rsid w:val="00DE0D2F"/>
    <w:rsid w:val="00DE0D75"/>
    <w:rsid w:val="00DE19EB"/>
    <w:rsid w:val="00DE5B0F"/>
    <w:rsid w:val="00DF0FE3"/>
    <w:rsid w:val="00DF2CB1"/>
    <w:rsid w:val="00DF69F9"/>
    <w:rsid w:val="00E02579"/>
    <w:rsid w:val="00E02B50"/>
    <w:rsid w:val="00E04B3F"/>
    <w:rsid w:val="00E060C1"/>
    <w:rsid w:val="00E06B1E"/>
    <w:rsid w:val="00E07787"/>
    <w:rsid w:val="00E10AAF"/>
    <w:rsid w:val="00E147D5"/>
    <w:rsid w:val="00E14C0E"/>
    <w:rsid w:val="00E16642"/>
    <w:rsid w:val="00E1787C"/>
    <w:rsid w:val="00E2249E"/>
    <w:rsid w:val="00E22B76"/>
    <w:rsid w:val="00E22F0B"/>
    <w:rsid w:val="00E234F1"/>
    <w:rsid w:val="00E241ED"/>
    <w:rsid w:val="00E24E3A"/>
    <w:rsid w:val="00E25AF8"/>
    <w:rsid w:val="00E26C55"/>
    <w:rsid w:val="00E26F6C"/>
    <w:rsid w:val="00E31BD0"/>
    <w:rsid w:val="00E34CA3"/>
    <w:rsid w:val="00E35C4A"/>
    <w:rsid w:val="00E37A0F"/>
    <w:rsid w:val="00E37DA6"/>
    <w:rsid w:val="00E37FE3"/>
    <w:rsid w:val="00E40EB7"/>
    <w:rsid w:val="00E43AAA"/>
    <w:rsid w:val="00E44C62"/>
    <w:rsid w:val="00E5387C"/>
    <w:rsid w:val="00E54EF2"/>
    <w:rsid w:val="00E60DC5"/>
    <w:rsid w:val="00E63559"/>
    <w:rsid w:val="00E65D55"/>
    <w:rsid w:val="00E67180"/>
    <w:rsid w:val="00E676E2"/>
    <w:rsid w:val="00E74FA5"/>
    <w:rsid w:val="00E756A8"/>
    <w:rsid w:val="00E76032"/>
    <w:rsid w:val="00E768F2"/>
    <w:rsid w:val="00E77E9E"/>
    <w:rsid w:val="00E81DED"/>
    <w:rsid w:val="00E82316"/>
    <w:rsid w:val="00E825B3"/>
    <w:rsid w:val="00E849DE"/>
    <w:rsid w:val="00E85948"/>
    <w:rsid w:val="00E86536"/>
    <w:rsid w:val="00E9167E"/>
    <w:rsid w:val="00E922A4"/>
    <w:rsid w:val="00E925CE"/>
    <w:rsid w:val="00E93F3F"/>
    <w:rsid w:val="00E9632F"/>
    <w:rsid w:val="00EA05D9"/>
    <w:rsid w:val="00EA0990"/>
    <w:rsid w:val="00EA1104"/>
    <w:rsid w:val="00EA5257"/>
    <w:rsid w:val="00EA59B6"/>
    <w:rsid w:val="00EA7415"/>
    <w:rsid w:val="00EB0433"/>
    <w:rsid w:val="00EB1B8B"/>
    <w:rsid w:val="00EB3C54"/>
    <w:rsid w:val="00EB4951"/>
    <w:rsid w:val="00EB53F2"/>
    <w:rsid w:val="00EB595B"/>
    <w:rsid w:val="00EC098E"/>
    <w:rsid w:val="00EC0BCB"/>
    <w:rsid w:val="00EC0E71"/>
    <w:rsid w:val="00ED29EA"/>
    <w:rsid w:val="00ED613A"/>
    <w:rsid w:val="00ED6CFA"/>
    <w:rsid w:val="00ED6D53"/>
    <w:rsid w:val="00EE1855"/>
    <w:rsid w:val="00EE2B68"/>
    <w:rsid w:val="00EE3733"/>
    <w:rsid w:val="00EE395E"/>
    <w:rsid w:val="00EE6D70"/>
    <w:rsid w:val="00EF1386"/>
    <w:rsid w:val="00EF2491"/>
    <w:rsid w:val="00EF256B"/>
    <w:rsid w:val="00EF37F8"/>
    <w:rsid w:val="00EF5277"/>
    <w:rsid w:val="00EF5CAD"/>
    <w:rsid w:val="00EF611F"/>
    <w:rsid w:val="00EF76E1"/>
    <w:rsid w:val="00F029AF"/>
    <w:rsid w:val="00F1030E"/>
    <w:rsid w:val="00F10925"/>
    <w:rsid w:val="00F12F6C"/>
    <w:rsid w:val="00F13DAE"/>
    <w:rsid w:val="00F157D8"/>
    <w:rsid w:val="00F174D7"/>
    <w:rsid w:val="00F201AD"/>
    <w:rsid w:val="00F21481"/>
    <w:rsid w:val="00F21B21"/>
    <w:rsid w:val="00F222BB"/>
    <w:rsid w:val="00F2491A"/>
    <w:rsid w:val="00F24EF6"/>
    <w:rsid w:val="00F254E4"/>
    <w:rsid w:val="00F26F5D"/>
    <w:rsid w:val="00F34C92"/>
    <w:rsid w:val="00F35D19"/>
    <w:rsid w:val="00F377AE"/>
    <w:rsid w:val="00F41269"/>
    <w:rsid w:val="00F41319"/>
    <w:rsid w:val="00F44B13"/>
    <w:rsid w:val="00F45BE7"/>
    <w:rsid w:val="00F463D7"/>
    <w:rsid w:val="00F50163"/>
    <w:rsid w:val="00F50B22"/>
    <w:rsid w:val="00F510E2"/>
    <w:rsid w:val="00F515F1"/>
    <w:rsid w:val="00F5273A"/>
    <w:rsid w:val="00F52D6B"/>
    <w:rsid w:val="00F52E18"/>
    <w:rsid w:val="00F546FB"/>
    <w:rsid w:val="00F55335"/>
    <w:rsid w:val="00F55CF7"/>
    <w:rsid w:val="00F57D1C"/>
    <w:rsid w:val="00F6086A"/>
    <w:rsid w:val="00F6169B"/>
    <w:rsid w:val="00F62824"/>
    <w:rsid w:val="00F62D7C"/>
    <w:rsid w:val="00F634C8"/>
    <w:rsid w:val="00F67155"/>
    <w:rsid w:val="00F7058F"/>
    <w:rsid w:val="00F70D21"/>
    <w:rsid w:val="00F70FEF"/>
    <w:rsid w:val="00F73F06"/>
    <w:rsid w:val="00F74F3A"/>
    <w:rsid w:val="00F75C02"/>
    <w:rsid w:val="00F77ECB"/>
    <w:rsid w:val="00F81BF8"/>
    <w:rsid w:val="00F81E47"/>
    <w:rsid w:val="00F824EF"/>
    <w:rsid w:val="00F84408"/>
    <w:rsid w:val="00F86474"/>
    <w:rsid w:val="00F868B4"/>
    <w:rsid w:val="00F86DAA"/>
    <w:rsid w:val="00F8730A"/>
    <w:rsid w:val="00F9016F"/>
    <w:rsid w:val="00F90601"/>
    <w:rsid w:val="00F93703"/>
    <w:rsid w:val="00FA78FD"/>
    <w:rsid w:val="00FB052B"/>
    <w:rsid w:val="00FB11BE"/>
    <w:rsid w:val="00FB1357"/>
    <w:rsid w:val="00FB1799"/>
    <w:rsid w:val="00FB1B56"/>
    <w:rsid w:val="00FB27F1"/>
    <w:rsid w:val="00FB36D9"/>
    <w:rsid w:val="00FB4C6F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FE2"/>
    <w:rsid w:val="00FD74CB"/>
    <w:rsid w:val="00FD7543"/>
    <w:rsid w:val="00FD7BF5"/>
    <w:rsid w:val="00FE185C"/>
    <w:rsid w:val="00FE3C5F"/>
    <w:rsid w:val="00FE401B"/>
    <w:rsid w:val="00FE4705"/>
    <w:rsid w:val="00FE557C"/>
    <w:rsid w:val="00FF2841"/>
    <w:rsid w:val="00FF46E6"/>
    <w:rsid w:val="00FF4C3A"/>
    <w:rsid w:val="00FF62F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60395"/>
  <w15:docId w15:val="{78887888-C43D-4E13-BB9F-FB3DB3AB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F568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En-tte">
    <w:name w:val="header"/>
    <w:basedOn w:val="Normal"/>
    <w:rsid w:val="002F568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2F5689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Numrodepage">
    <w:name w:val="page number"/>
    <w:basedOn w:val="Policepardfaut"/>
    <w:rsid w:val="00812D16"/>
  </w:style>
  <w:style w:type="paragraph" w:styleId="Corpsdetexte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aire">
    <w:name w:val="annotation text"/>
    <w:basedOn w:val="Normal"/>
    <w:link w:val="CommentaireCar"/>
    <w:semiHidden/>
    <w:rsid w:val="00812D16"/>
    <w:rPr>
      <w:sz w:val="20"/>
    </w:rPr>
  </w:style>
  <w:style w:type="character" w:styleId="Lienhypertexte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extedebulles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au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Marquedecommentaire">
    <w:name w:val="annotation reference"/>
    <w:rsid w:val="00BC6DC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BC6DC2"/>
    <w:rPr>
      <w:b/>
      <w:bCs/>
    </w:rPr>
  </w:style>
  <w:style w:type="character" w:customStyle="1" w:styleId="CommentaireCar">
    <w:name w:val="Commentaire Car"/>
    <w:link w:val="Commentaire"/>
    <w:semiHidden/>
    <w:rsid w:val="00BC6DC2"/>
    <w:rPr>
      <w:rFonts w:eastAsia="Times New Roman"/>
      <w:lang w:eastAsia="en-US"/>
    </w:rPr>
  </w:style>
  <w:style w:type="character" w:customStyle="1" w:styleId="ObjetducommentaireCar">
    <w:name w:val="Objet du commentaire Car"/>
    <w:link w:val="Objetducommentaire"/>
    <w:rsid w:val="00BC6DC2"/>
    <w:rPr>
      <w:rFonts w:eastAsia="Times New Roman"/>
      <w:b/>
      <w:bCs/>
      <w:lang w:eastAsia="en-US"/>
    </w:rPr>
  </w:style>
  <w:style w:type="character" w:styleId="Lienhypertextesuivivisit">
    <w:name w:val="FollowedHyperlink"/>
    <w:basedOn w:val="Policepardfaut"/>
    <w:rsid w:val="00CF4CE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D7C82"/>
    <w:pPr>
      <w:ind w:left="720"/>
      <w:contextualSpacing/>
    </w:pPr>
  </w:style>
  <w:style w:type="paragraph" w:styleId="Rvision">
    <w:name w:val="Revision"/>
    <w:hidden/>
    <w:uiPriority w:val="99"/>
    <w:semiHidden/>
    <w:rsid w:val="005B72BB"/>
    <w:rPr>
      <w:rFonts w:eastAsia="Times New Roman"/>
      <w:sz w:val="22"/>
      <w:lang w:val="en-GB" w:eastAsia="en-US"/>
    </w:rPr>
  </w:style>
  <w:style w:type="table" w:styleId="Grilledutableau">
    <w:name w:val="Table Grid"/>
    <w:basedOn w:val="TableauNormal"/>
    <w:uiPriority w:val="59"/>
    <w:rsid w:val="00087C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535F7-3EC6-4E88-A5D3-24EB8447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3025</Words>
  <Characters>17811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Hqrdtemplatecleanen</vt:lpstr>
      <vt:lpstr>Hqrdtemplatecleanen</vt:lpstr>
    </vt:vector>
  </TitlesOfParts>
  <Company>European Medicines Agency</Company>
  <LinksUpToDate>false</LinksUpToDate>
  <CharactersWithSpaces>20795</CharactersWithSpaces>
  <SharedDoc>false</SharedDoc>
  <HLinks>
    <vt:vector size="30" baseType="variant"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Hqrdtemplatecleanen</dc:title>
  <dc:creator>PIQ-QRD</dc:creator>
  <cp:lastModifiedBy>Véronique Legrand</cp:lastModifiedBy>
  <cp:revision>29</cp:revision>
  <dcterms:created xsi:type="dcterms:W3CDTF">2021-03-10T14:42:00Z</dcterms:created>
  <dcterms:modified xsi:type="dcterms:W3CDTF">2021-08-27T12:34:00Z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General-EMA/423415/2010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Espinasse Claire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423415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CURRENT,1.4</vt:lpwstr>
  </property>
  <property fmtid="{D5CDD505-2E9C-101B-9397-08002B2CF9AE}" pid="31" name="DM_Name">
    <vt:lpwstr>Hqrdtemplatecleanen</vt:lpwstr>
  </property>
  <property fmtid="{D5CDD505-2E9C-101B-9397-08002B2CF9AE}" pid="32" name="DM_Creation_Date">
    <vt:lpwstr>15/03/2013 12:30:32</vt:lpwstr>
  </property>
  <property fmtid="{D5CDD505-2E9C-101B-9397-08002B2CF9AE}" pid="33" name="DM_Modify_Date">
    <vt:lpwstr>15/03/2013 12:30:32</vt:lpwstr>
  </property>
  <property fmtid="{D5CDD505-2E9C-101B-9397-08002B2CF9AE}" pid="34" name="DM_Creator_Name">
    <vt:lpwstr>Espinasse Claire</vt:lpwstr>
  </property>
  <property fmtid="{D5CDD505-2E9C-101B-9397-08002B2CF9AE}" pid="35" name="DM_Modifier_Name">
    <vt:lpwstr>Espinasse Claire</vt:lpwstr>
  </property>
  <property fmtid="{D5CDD505-2E9C-101B-9397-08002B2CF9AE}" pid="36" name="DM_Type">
    <vt:lpwstr>emea_document</vt:lpwstr>
  </property>
  <property fmtid="{D5CDD505-2E9C-101B-9397-08002B2CF9AE}" pid="37" name="DM_DocRefId">
    <vt:lpwstr>EMA/149220/2013</vt:lpwstr>
  </property>
  <property fmtid="{D5CDD505-2E9C-101B-9397-08002B2CF9AE}" pid="38" name="DM_Category">
    <vt:lpwstr>Product Information</vt:lpwstr>
  </property>
  <property fmtid="{D5CDD505-2E9C-101B-9397-08002B2CF9AE}" pid="39" name="DM_Path">
    <vt:lpwstr>/13. Projects/02-004-00014-PIM Implementation/Implementation/DES 2.8 Construction/QRD Template</vt:lpwstr>
  </property>
  <property fmtid="{D5CDD505-2E9C-101B-9397-08002B2CF9AE}" pid="40" name="DM_emea_doc_ref_id">
    <vt:lpwstr>EMA/149220/2013</vt:lpwstr>
  </property>
  <property fmtid="{D5CDD505-2E9C-101B-9397-08002B2CF9AE}" pid="41" name="DM_Modifer_Name">
    <vt:lpwstr>Espinasse Claire</vt:lpwstr>
  </property>
  <property fmtid="{D5CDD505-2E9C-101B-9397-08002B2CF9AE}" pid="42" name="DM_Modified_Date">
    <vt:lpwstr>15/03/2013 12:30:32</vt:lpwstr>
  </property>
</Properties>
</file>