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BC32" w14:textId="77777777" w:rsidR="00A123B6" w:rsidRDefault="00A123B6" w:rsidP="002615F4">
      <w:pPr>
        <w:suppressAutoHyphens/>
        <w:ind w:left="567" w:hanging="567"/>
        <w:rPr>
          <w:b/>
          <w:noProof/>
          <w:sz w:val="24"/>
          <w:szCs w:val="24"/>
        </w:rPr>
      </w:pPr>
    </w:p>
    <w:p w14:paraId="7F419346" w14:textId="77777777" w:rsidR="00A123B6" w:rsidRDefault="00A123B6" w:rsidP="002615F4">
      <w:pPr>
        <w:suppressAutoHyphens/>
        <w:ind w:left="567" w:hanging="567"/>
        <w:rPr>
          <w:b/>
          <w:noProof/>
          <w:sz w:val="24"/>
          <w:szCs w:val="24"/>
        </w:rPr>
      </w:pPr>
    </w:p>
    <w:p w14:paraId="67D15F5B" w14:textId="752A9FCE" w:rsidR="001E592A" w:rsidRPr="00EE32E5" w:rsidRDefault="001E592A" w:rsidP="002615F4">
      <w:pPr>
        <w:suppressAutoHyphens/>
        <w:ind w:left="567" w:hanging="567"/>
        <w:rPr>
          <w:b/>
          <w:noProof/>
          <w:sz w:val="24"/>
          <w:szCs w:val="24"/>
        </w:rPr>
      </w:pPr>
      <w:r w:rsidRPr="00EE32E5">
        <w:rPr>
          <w:b/>
          <w:noProof/>
          <w:sz w:val="24"/>
          <w:szCs w:val="24"/>
        </w:rPr>
        <w:t>1.</w:t>
      </w:r>
      <w:r w:rsidRPr="00EE32E5">
        <w:rPr>
          <w:b/>
          <w:noProof/>
          <w:sz w:val="24"/>
          <w:szCs w:val="24"/>
        </w:rPr>
        <w:tab/>
        <w:t>DENOMINATION DU MEDICAMENT</w:t>
      </w:r>
    </w:p>
    <w:p w14:paraId="66440E5B" w14:textId="77777777" w:rsidR="002615F4" w:rsidRPr="00EE32E5" w:rsidRDefault="002615F4" w:rsidP="001E592A">
      <w:pPr>
        <w:suppressAutoHyphens/>
        <w:rPr>
          <w:noProof/>
          <w:sz w:val="24"/>
          <w:szCs w:val="24"/>
        </w:rPr>
      </w:pPr>
    </w:p>
    <w:p w14:paraId="5BE7B344" w14:textId="1D9E352A" w:rsidR="001E592A" w:rsidRPr="00EE32E5" w:rsidRDefault="001E592A" w:rsidP="001E592A">
      <w:pPr>
        <w:suppressAutoHyphens/>
        <w:rPr>
          <w:noProof/>
          <w:sz w:val="24"/>
          <w:szCs w:val="24"/>
        </w:rPr>
      </w:pPr>
      <w:r w:rsidRPr="00EE32E5">
        <w:rPr>
          <w:noProof/>
          <w:sz w:val="24"/>
          <w:szCs w:val="24"/>
        </w:rPr>
        <w:t>TINAZOL</w:t>
      </w:r>
      <w:r w:rsidRPr="00EE32E5">
        <w:rPr>
          <w:noProof/>
          <w:sz w:val="24"/>
          <w:szCs w:val="24"/>
          <w:vertAlign w:val="superscript"/>
        </w:rPr>
        <w:t>®</w:t>
      </w:r>
      <w:r w:rsidRPr="00EE32E5">
        <w:rPr>
          <w:noProof/>
          <w:sz w:val="24"/>
          <w:szCs w:val="24"/>
        </w:rPr>
        <w:t xml:space="preserve"> comprimés</w:t>
      </w:r>
      <w:r w:rsidR="00CE7805">
        <w:rPr>
          <w:noProof/>
          <w:sz w:val="24"/>
          <w:szCs w:val="24"/>
        </w:rPr>
        <w:t>.</w:t>
      </w:r>
    </w:p>
    <w:p w14:paraId="62D51B5B" w14:textId="77777777" w:rsidR="001E592A" w:rsidRPr="00EE32E5" w:rsidRDefault="001E592A" w:rsidP="001E592A">
      <w:pPr>
        <w:suppressAutoHyphens/>
        <w:rPr>
          <w:noProof/>
          <w:sz w:val="24"/>
          <w:szCs w:val="24"/>
        </w:rPr>
      </w:pPr>
    </w:p>
    <w:p w14:paraId="2487623A" w14:textId="77777777" w:rsidR="001E592A" w:rsidRPr="00EE32E5" w:rsidRDefault="001E592A" w:rsidP="001E592A">
      <w:pPr>
        <w:suppressAutoHyphens/>
        <w:rPr>
          <w:noProof/>
          <w:sz w:val="24"/>
          <w:szCs w:val="24"/>
        </w:rPr>
      </w:pPr>
    </w:p>
    <w:p w14:paraId="78D021AF" w14:textId="77777777" w:rsidR="001E592A" w:rsidRPr="00EE32E5" w:rsidRDefault="001E592A" w:rsidP="001E592A">
      <w:pPr>
        <w:suppressAutoHyphens/>
        <w:ind w:left="567" w:hanging="567"/>
        <w:rPr>
          <w:b/>
          <w:noProof/>
          <w:sz w:val="24"/>
          <w:szCs w:val="24"/>
        </w:rPr>
      </w:pPr>
      <w:r w:rsidRPr="00EE32E5">
        <w:rPr>
          <w:b/>
          <w:noProof/>
          <w:sz w:val="24"/>
          <w:szCs w:val="24"/>
        </w:rPr>
        <w:t>2.</w:t>
      </w:r>
      <w:r w:rsidRPr="00EE32E5">
        <w:rPr>
          <w:b/>
          <w:noProof/>
          <w:sz w:val="24"/>
          <w:szCs w:val="24"/>
        </w:rPr>
        <w:tab/>
        <w:t>COMPOSITION QUALITATIVE ET QUANTITATIVE</w:t>
      </w:r>
    </w:p>
    <w:p w14:paraId="63A935E0" w14:textId="77777777" w:rsidR="001E592A" w:rsidRPr="00EE32E5" w:rsidRDefault="001E592A" w:rsidP="001E592A">
      <w:pPr>
        <w:suppressAutoHyphens/>
        <w:rPr>
          <w:noProof/>
          <w:sz w:val="24"/>
          <w:szCs w:val="24"/>
        </w:rPr>
      </w:pPr>
    </w:p>
    <w:p w14:paraId="6D84C397" w14:textId="77777777" w:rsidR="001E592A" w:rsidRPr="00EE32E5" w:rsidRDefault="001E592A" w:rsidP="00EE32E5">
      <w:pPr>
        <w:jc w:val="both"/>
        <w:rPr>
          <w:sz w:val="24"/>
          <w:szCs w:val="24"/>
        </w:rPr>
      </w:pPr>
      <w:r w:rsidRPr="00EE32E5">
        <w:rPr>
          <w:sz w:val="24"/>
          <w:szCs w:val="24"/>
        </w:rPr>
        <w:t xml:space="preserve">La substance active est le </w:t>
      </w:r>
      <w:proofErr w:type="spellStart"/>
      <w:r w:rsidRPr="00EE32E5">
        <w:rPr>
          <w:sz w:val="24"/>
          <w:szCs w:val="24"/>
        </w:rPr>
        <w:t>tinidazole</w:t>
      </w:r>
      <w:proofErr w:type="spellEnd"/>
      <w:r w:rsidRPr="00EE32E5">
        <w:rPr>
          <w:sz w:val="24"/>
          <w:szCs w:val="24"/>
        </w:rPr>
        <w:t xml:space="preserve">. Chaque comprimé pelliculé contient 500 mg de </w:t>
      </w:r>
      <w:proofErr w:type="spellStart"/>
      <w:r w:rsidRPr="00EE32E5">
        <w:rPr>
          <w:sz w:val="24"/>
          <w:szCs w:val="24"/>
        </w:rPr>
        <w:t>Tinidazole</w:t>
      </w:r>
      <w:proofErr w:type="spellEnd"/>
      <w:r w:rsidRPr="00EE32E5">
        <w:rPr>
          <w:sz w:val="24"/>
          <w:szCs w:val="24"/>
        </w:rPr>
        <w:t xml:space="preserve"> BP</w:t>
      </w:r>
    </w:p>
    <w:p w14:paraId="1950634E" w14:textId="77777777" w:rsidR="00F23D88" w:rsidRPr="00EE32E5" w:rsidRDefault="00F23D88" w:rsidP="00EE32E5">
      <w:pPr>
        <w:suppressAutoHyphens/>
        <w:jc w:val="both"/>
        <w:rPr>
          <w:noProof/>
          <w:sz w:val="24"/>
          <w:szCs w:val="24"/>
        </w:rPr>
      </w:pPr>
      <w:r w:rsidRPr="00EE32E5">
        <w:rPr>
          <w:noProof/>
          <w:sz w:val="24"/>
          <w:szCs w:val="24"/>
        </w:rPr>
        <w:t>Excipients à effet notoire : ce</w:t>
      </w:r>
      <w:r w:rsidRPr="00EE32E5">
        <w:rPr>
          <w:sz w:val="24"/>
          <w:szCs w:val="24"/>
          <w:lang w:eastAsia="fr-BE"/>
        </w:rPr>
        <w:t xml:space="preserve"> médicament contient du </w:t>
      </w:r>
      <w:proofErr w:type="spellStart"/>
      <w:r w:rsidRPr="00EE32E5">
        <w:rPr>
          <w:sz w:val="24"/>
          <w:szCs w:val="24"/>
          <w:lang w:eastAsia="fr-BE"/>
        </w:rPr>
        <w:t>parahydroxybenzoate</w:t>
      </w:r>
      <w:proofErr w:type="spellEnd"/>
      <w:r w:rsidRPr="00EE32E5">
        <w:rPr>
          <w:sz w:val="24"/>
          <w:szCs w:val="24"/>
          <w:lang w:eastAsia="fr-BE"/>
        </w:rPr>
        <w:t xml:space="preserve"> de méthyle et de </w:t>
      </w:r>
      <w:proofErr w:type="spellStart"/>
      <w:r w:rsidRPr="00EE32E5">
        <w:rPr>
          <w:sz w:val="24"/>
          <w:szCs w:val="24"/>
          <w:lang w:eastAsia="fr-BE"/>
        </w:rPr>
        <w:t>propyle</w:t>
      </w:r>
      <w:proofErr w:type="spellEnd"/>
      <w:r w:rsidRPr="00EE32E5">
        <w:rPr>
          <w:sz w:val="24"/>
          <w:szCs w:val="24"/>
          <w:lang w:eastAsia="fr-BE"/>
        </w:rPr>
        <w:t xml:space="preserve"> sodique, voir rubrique 4.4.</w:t>
      </w:r>
    </w:p>
    <w:p w14:paraId="3BFE6D18" w14:textId="77777777" w:rsidR="001E592A" w:rsidRPr="00EE32E5" w:rsidRDefault="001E592A" w:rsidP="001E592A">
      <w:pPr>
        <w:suppressAutoHyphens/>
        <w:rPr>
          <w:noProof/>
          <w:sz w:val="24"/>
          <w:szCs w:val="24"/>
        </w:rPr>
      </w:pPr>
      <w:r w:rsidRPr="00EE32E5">
        <w:rPr>
          <w:noProof/>
          <w:sz w:val="24"/>
          <w:szCs w:val="24"/>
        </w:rPr>
        <w:t>Pour</w:t>
      </w:r>
      <w:r w:rsidRPr="00EE32E5">
        <w:rPr>
          <w:sz w:val="24"/>
          <w:szCs w:val="24"/>
        </w:rPr>
        <w:t xml:space="preserve"> la liste complète des</w:t>
      </w:r>
      <w:r w:rsidRPr="00EE32E5">
        <w:rPr>
          <w:noProof/>
          <w:sz w:val="24"/>
          <w:szCs w:val="24"/>
        </w:rPr>
        <w:t xml:space="preserve"> excipients, voir rubrique 6.1.</w:t>
      </w:r>
    </w:p>
    <w:p w14:paraId="2AAC0FAE" w14:textId="77777777" w:rsidR="001E592A" w:rsidRPr="00EE32E5" w:rsidRDefault="001E592A" w:rsidP="001E592A">
      <w:pPr>
        <w:suppressAutoHyphens/>
        <w:rPr>
          <w:noProof/>
          <w:sz w:val="24"/>
          <w:szCs w:val="24"/>
        </w:rPr>
      </w:pPr>
    </w:p>
    <w:p w14:paraId="25E25783" w14:textId="77777777" w:rsidR="001E592A" w:rsidRPr="00EE32E5" w:rsidRDefault="001E592A" w:rsidP="001E592A">
      <w:pPr>
        <w:suppressAutoHyphens/>
        <w:rPr>
          <w:noProof/>
          <w:sz w:val="24"/>
          <w:szCs w:val="24"/>
        </w:rPr>
      </w:pPr>
    </w:p>
    <w:p w14:paraId="7743F322" w14:textId="77777777" w:rsidR="001E592A" w:rsidRPr="00EE32E5" w:rsidRDefault="001E592A" w:rsidP="001E592A">
      <w:pPr>
        <w:suppressAutoHyphens/>
        <w:ind w:left="567" w:hanging="567"/>
        <w:rPr>
          <w:b/>
          <w:noProof/>
          <w:sz w:val="24"/>
          <w:szCs w:val="24"/>
        </w:rPr>
      </w:pPr>
      <w:r w:rsidRPr="00EE32E5">
        <w:rPr>
          <w:b/>
          <w:noProof/>
          <w:sz w:val="24"/>
          <w:szCs w:val="24"/>
        </w:rPr>
        <w:t>3.</w:t>
      </w:r>
      <w:r w:rsidRPr="00EE32E5">
        <w:rPr>
          <w:b/>
          <w:noProof/>
          <w:sz w:val="24"/>
          <w:szCs w:val="24"/>
        </w:rPr>
        <w:tab/>
        <w:t>FORME PHARMACEUTIQUE</w:t>
      </w:r>
    </w:p>
    <w:p w14:paraId="04D3688D" w14:textId="77777777" w:rsidR="001E592A" w:rsidRPr="00EE32E5" w:rsidRDefault="001E592A" w:rsidP="002615F4">
      <w:pPr>
        <w:suppressAutoHyphens/>
        <w:rPr>
          <w:b/>
          <w:noProof/>
          <w:sz w:val="24"/>
          <w:szCs w:val="24"/>
        </w:rPr>
      </w:pPr>
    </w:p>
    <w:p w14:paraId="3D5E8CD0" w14:textId="77777777" w:rsidR="001E592A" w:rsidRPr="00EE32E5" w:rsidRDefault="001E592A" w:rsidP="001E592A">
      <w:pPr>
        <w:suppressAutoHyphens/>
        <w:rPr>
          <w:noProof/>
          <w:sz w:val="24"/>
          <w:szCs w:val="24"/>
        </w:rPr>
      </w:pPr>
      <w:r w:rsidRPr="00EE32E5">
        <w:rPr>
          <w:noProof/>
          <w:sz w:val="24"/>
          <w:szCs w:val="24"/>
        </w:rPr>
        <w:t>Comprimés pelliculés.</w:t>
      </w:r>
    </w:p>
    <w:p w14:paraId="6F4CEC1D" w14:textId="77777777" w:rsidR="001E592A" w:rsidRPr="00EE32E5" w:rsidRDefault="001E592A" w:rsidP="001E592A">
      <w:pPr>
        <w:suppressAutoHyphens/>
        <w:rPr>
          <w:noProof/>
          <w:sz w:val="24"/>
          <w:szCs w:val="24"/>
        </w:rPr>
      </w:pPr>
      <w:r w:rsidRPr="00EE32E5">
        <w:rPr>
          <w:noProof/>
          <w:sz w:val="24"/>
          <w:szCs w:val="24"/>
        </w:rPr>
        <w:t>Comprimés blancs, pelliculés, biconvexe de forme circulaire, marquée « TINAZOL 500 » sur une face.</w:t>
      </w:r>
    </w:p>
    <w:p w14:paraId="750B0B98" w14:textId="77777777" w:rsidR="001E592A" w:rsidRPr="00EE32E5" w:rsidRDefault="001E592A" w:rsidP="001E592A">
      <w:pPr>
        <w:suppressAutoHyphens/>
        <w:rPr>
          <w:noProof/>
          <w:sz w:val="24"/>
          <w:szCs w:val="24"/>
        </w:rPr>
      </w:pPr>
    </w:p>
    <w:p w14:paraId="43C8B82F" w14:textId="77777777" w:rsidR="001E592A" w:rsidRPr="00EE32E5" w:rsidRDefault="001E592A" w:rsidP="001E592A">
      <w:pPr>
        <w:suppressAutoHyphens/>
        <w:rPr>
          <w:noProof/>
          <w:sz w:val="24"/>
          <w:szCs w:val="24"/>
        </w:rPr>
      </w:pPr>
    </w:p>
    <w:p w14:paraId="064EC78F" w14:textId="77777777" w:rsidR="001E592A" w:rsidRPr="00EE32E5" w:rsidRDefault="001E592A" w:rsidP="001E592A">
      <w:pPr>
        <w:suppressAutoHyphens/>
        <w:ind w:left="567" w:hanging="567"/>
        <w:rPr>
          <w:b/>
          <w:noProof/>
          <w:sz w:val="24"/>
          <w:szCs w:val="24"/>
        </w:rPr>
      </w:pPr>
      <w:r w:rsidRPr="00EE32E5">
        <w:rPr>
          <w:b/>
          <w:noProof/>
          <w:sz w:val="24"/>
          <w:szCs w:val="24"/>
        </w:rPr>
        <w:t>4.</w:t>
      </w:r>
      <w:r w:rsidRPr="00EE32E5">
        <w:rPr>
          <w:b/>
          <w:noProof/>
          <w:sz w:val="24"/>
          <w:szCs w:val="24"/>
        </w:rPr>
        <w:tab/>
        <w:t>DONNEES CLINIQUES</w:t>
      </w:r>
    </w:p>
    <w:p w14:paraId="174A5C51" w14:textId="77777777" w:rsidR="001E592A" w:rsidRPr="00EE32E5" w:rsidRDefault="001E592A" w:rsidP="001E592A">
      <w:pPr>
        <w:suppressAutoHyphens/>
        <w:rPr>
          <w:noProof/>
          <w:sz w:val="24"/>
          <w:szCs w:val="24"/>
        </w:rPr>
      </w:pPr>
    </w:p>
    <w:p w14:paraId="1AC45F14" w14:textId="77777777" w:rsidR="001E592A" w:rsidRPr="00EE32E5" w:rsidRDefault="001E592A" w:rsidP="001E592A">
      <w:pPr>
        <w:suppressAutoHyphens/>
        <w:ind w:left="567" w:hanging="567"/>
        <w:rPr>
          <w:b/>
          <w:noProof/>
          <w:sz w:val="24"/>
          <w:szCs w:val="24"/>
        </w:rPr>
      </w:pPr>
      <w:r w:rsidRPr="00EE32E5">
        <w:rPr>
          <w:b/>
          <w:noProof/>
          <w:sz w:val="24"/>
          <w:szCs w:val="24"/>
        </w:rPr>
        <w:t>4.1</w:t>
      </w:r>
      <w:r w:rsidRPr="00EE32E5">
        <w:rPr>
          <w:b/>
          <w:noProof/>
          <w:sz w:val="24"/>
          <w:szCs w:val="24"/>
        </w:rPr>
        <w:tab/>
        <w:t>Indications thérapeutiques</w:t>
      </w:r>
    </w:p>
    <w:p w14:paraId="7A8038F6" w14:textId="5A8AB028" w:rsidR="001E592A" w:rsidRPr="00EE32E5" w:rsidRDefault="001E592A" w:rsidP="00EE32E5">
      <w:pPr>
        <w:jc w:val="both"/>
        <w:rPr>
          <w:sz w:val="24"/>
          <w:szCs w:val="24"/>
        </w:rPr>
      </w:pPr>
      <w:r w:rsidRPr="00EE32E5">
        <w:rPr>
          <w:sz w:val="24"/>
          <w:szCs w:val="24"/>
        </w:rPr>
        <w:t xml:space="preserve">Le </w:t>
      </w:r>
      <w:proofErr w:type="spellStart"/>
      <w:r w:rsidRPr="00EE32E5">
        <w:rPr>
          <w:sz w:val="24"/>
          <w:szCs w:val="24"/>
        </w:rPr>
        <w:t>tinidazole</w:t>
      </w:r>
      <w:proofErr w:type="spellEnd"/>
      <w:r w:rsidRPr="00EE32E5">
        <w:rPr>
          <w:sz w:val="24"/>
          <w:szCs w:val="24"/>
        </w:rPr>
        <w:t xml:space="preserve"> comprimés à 500 mg est indiqué </w:t>
      </w:r>
      <w:r w:rsidR="008C359D" w:rsidRPr="00EE32E5">
        <w:rPr>
          <w:sz w:val="24"/>
          <w:szCs w:val="24"/>
        </w:rPr>
        <w:t xml:space="preserve">chez l’adulte, l’adolescent et l’enfant âgé de plus de 12 ans </w:t>
      </w:r>
      <w:r w:rsidRPr="00EE32E5">
        <w:rPr>
          <w:sz w:val="24"/>
          <w:szCs w:val="24"/>
        </w:rPr>
        <w:t>pour le traitement par voie orale </w:t>
      </w:r>
      <w:r w:rsidR="008C359D" w:rsidRPr="00EE32E5">
        <w:rPr>
          <w:sz w:val="24"/>
          <w:szCs w:val="24"/>
        </w:rPr>
        <w:t>des infections suivantes</w:t>
      </w:r>
      <w:r w:rsidRPr="00EE32E5">
        <w:rPr>
          <w:sz w:val="24"/>
          <w:szCs w:val="24"/>
        </w:rPr>
        <w:t>:</w:t>
      </w:r>
    </w:p>
    <w:p w14:paraId="24162623" w14:textId="1594CF6B" w:rsidR="001E592A" w:rsidRPr="00EE32E5" w:rsidRDefault="001E592A" w:rsidP="001E592A">
      <w:pPr>
        <w:rPr>
          <w:sz w:val="24"/>
          <w:szCs w:val="24"/>
        </w:rPr>
      </w:pPr>
    </w:p>
    <w:p w14:paraId="08E5EA08" w14:textId="1D0DA390" w:rsidR="008C359D" w:rsidRPr="00EE32E5" w:rsidRDefault="008C359D" w:rsidP="001E592A">
      <w:pPr>
        <w:rPr>
          <w:sz w:val="24"/>
          <w:szCs w:val="24"/>
          <w:u w:val="single"/>
        </w:rPr>
      </w:pPr>
      <w:r w:rsidRPr="00EE32E5">
        <w:rPr>
          <w:sz w:val="24"/>
          <w:szCs w:val="24"/>
        </w:rPr>
        <w:t xml:space="preserve">a) </w:t>
      </w:r>
      <w:r w:rsidRPr="00EE32E5">
        <w:rPr>
          <w:sz w:val="24"/>
          <w:szCs w:val="24"/>
          <w:u w:val="single"/>
        </w:rPr>
        <w:t>Infections anaérobies</w:t>
      </w:r>
      <w:r w:rsidRPr="00EE32E5">
        <w:rPr>
          <w:sz w:val="24"/>
          <w:szCs w:val="24"/>
        </w:rPr>
        <w:t> :</w:t>
      </w:r>
    </w:p>
    <w:p w14:paraId="2F4884EF" w14:textId="2F6C757E" w:rsidR="008C359D" w:rsidRPr="00EE32E5" w:rsidRDefault="008C359D" w:rsidP="00EE32E5">
      <w:pPr>
        <w:jc w:val="both"/>
        <w:rPr>
          <w:sz w:val="24"/>
          <w:szCs w:val="24"/>
        </w:rPr>
      </w:pPr>
      <w:r w:rsidRPr="00EE32E5">
        <w:rPr>
          <w:sz w:val="24"/>
          <w:szCs w:val="24"/>
        </w:rPr>
        <w:t xml:space="preserve">Infections dans lesquelles des bactéries anaérobies (telles que </w:t>
      </w:r>
      <w:proofErr w:type="spellStart"/>
      <w:r w:rsidRPr="00EE32E5">
        <w:rPr>
          <w:i/>
          <w:iCs/>
          <w:sz w:val="24"/>
          <w:szCs w:val="24"/>
        </w:rPr>
        <w:t>Bacter</w:t>
      </w:r>
      <w:r w:rsidR="00B951C3" w:rsidRPr="00EE32E5">
        <w:rPr>
          <w:i/>
          <w:iCs/>
          <w:sz w:val="24"/>
          <w:szCs w:val="24"/>
        </w:rPr>
        <w:t>oides</w:t>
      </w:r>
      <w:proofErr w:type="spellEnd"/>
      <w:r w:rsidR="00B951C3" w:rsidRPr="00EE32E5">
        <w:rPr>
          <w:i/>
          <w:iCs/>
          <w:sz w:val="24"/>
          <w:szCs w:val="24"/>
        </w:rPr>
        <w:t xml:space="preserve"> </w:t>
      </w:r>
      <w:proofErr w:type="spellStart"/>
      <w:r w:rsidR="00B951C3" w:rsidRPr="00EE32E5">
        <w:rPr>
          <w:i/>
          <w:iCs/>
          <w:sz w:val="24"/>
          <w:szCs w:val="24"/>
        </w:rPr>
        <w:t>fragilis</w:t>
      </w:r>
      <w:proofErr w:type="spellEnd"/>
      <w:r w:rsidR="00B951C3" w:rsidRPr="00EE32E5">
        <w:rPr>
          <w:sz w:val="24"/>
          <w:szCs w:val="24"/>
        </w:rPr>
        <w:t xml:space="preserve">, autres espèces de </w:t>
      </w:r>
      <w:proofErr w:type="spellStart"/>
      <w:r w:rsidR="00B951C3" w:rsidRPr="00EE32E5">
        <w:rPr>
          <w:i/>
          <w:iCs/>
          <w:sz w:val="24"/>
          <w:szCs w:val="24"/>
        </w:rPr>
        <w:t>Bacteroides</w:t>
      </w:r>
      <w:proofErr w:type="spellEnd"/>
      <w:r w:rsidR="00B951C3" w:rsidRPr="00EE32E5">
        <w:rPr>
          <w:i/>
          <w:iCs/>
          <w:sz w:val="24"/>
          <w:szCs w:val="24"/>
        </w:rPr>
        <w:t xml:space="preserve">, </w:t>
      </w:r>
      <w:proofErr w:type="spellStart"/>
      <w:r w:rsidR="00B951C3" w:rsidRPr="00EE32E5">
        <w:rPr>
          <w:i/>
          <w:iCs/>
          <w:sz w:val="24"/>
          <w:szCs w:val="24"/>
        </w:rPr>
        <w:t>Fusobacteria</w:t>
      </w:r>
      <w:proofErr w:type="spellEnd"/>
      <w:r w:rsidR="00B951C3" w:rsidRPr="00EE32E5">
        <w:rPr>
          <w:sz w:val="24"/>
          <w:szCs w:val="24"/>
        </w:rPr>
        <w:t xml:space="preserve"> </w:t>
      </w:r>
      <w:proofErr w:type="spellStart"/>
      <w:r w:rsidR="00B951C3" w:rsidRPr="00EE32E5">
        <w:rPr>
          <w:sz w:val="24"/>
          <w:szCs w:val="24"/>
        </w:rPr>
        <w:t>spp</w:t>
      </w:r>
      <w:proofErr w:type="spellEnd"/>
      <w:r w:rsidR="00B951C3" w:rsidRPr="00EE32E5">
        <w:rPr>
          <w:sz w:val="24"/>
          <w:szCs w:val="24"/>
        </w:rPr>
        <w:t xml:space="preserve">. </w:t>
      </w:r>
      <w:proofErr w:type="gramStart"/>
      <w:r w:rsidR="00B951C3" w:rsidRPr="00EE32E5">
        <w:rPr>
          <w:sz w:val="24"/>
          <w:szCs w:val="24"/>
        </w:rPr>
        <w:t>ou</w:t>
      </w:r>
      <w:proofErr w:type="gramEnd"/>
      <w:r w:rsidR="00B951C3" w:rsidRPr="00EE32E5">
        <w:rPr>
          <w:sz w:val="24"/>
          <w:szCs w:val="24"/>
        </w:rPr>
        <w:t xml:space="preserve"> </w:t>
      </w:r>
      <w:proofErr w:type="spellStart"/>
      <w:r w:rsidR="00B951C3" w:rsidRPr="00EE32E5">
        <w:rPr>
          <w:i/>
          <w:iCs/>
          <w:sz w:val="24"/>
          <w:szCs w:val="24"/>
        </w:rPr>
        <w:t>Peptococcus</w:t>
      </w:r>
      <w:proofErr w:type="spellEnd"/>
      <w:r w:rsidR="00B951C3" w:rsidRPr="00EE32E5">
        <w:rPr>
          <w:sz w:val="24"/>
          <w:szCs w:val="24"/>
        </w:rPr>
        <w:t xml:space="preserve"> </w:t>
      </w:r>
      <w:proofErr w:type="spellStart"/>
      <w:r w:rsidR="00B951C3" w:rsidRPr="00EE32E5">
        <w:rPr>
          <w:sz w:val="24"/>
          <w:szCs w:val="24"/>
        </w:rPr>
        <w:t>spp</w:t>
      </w:r>
      <w:proofErr w:type="spellEnd"/>
      <w:r w:rsidR="00B951C3" w:rsidRPr="00EE32E5">
        <w:rPr>
          <w:sz w:val="24"/>
          <w:szCs w:val="24"/>
        </w:rPr>
        <w:t xml:space="preserve">., </w:t>
      </w:r>
      <w:proofErr w:type="spellStart"/>
      <w:r w:rsidR="00B951C3" w:rsidRPr="00EE32E5">
        <w:rPr>
          <w:i/>
          <w:iCs/>
          <w:sz w:val="24"/>
          <w:szCs w:val="24"/>
        </w:rPr>
        <w:t>Peptostreptoccus</w:t>
      </w:r>
      <w:proofErr w:type="spellEnd"/>
      <w:r w:rsidR="00B951C3" w:rsidRPr="00EE32E5">
        <w:rPr>
          <w:sz w:val="24"/>
          <w:szCs w:val="24"/>
        </w:rPr>
        <w:t xml:space="preserve"> </w:t>
      </w:r>
      <w:proofErr w:type="spellStart"/>
      <w:r w:rsidR="00B951C3" w:rsidRPr="00EE32E5">
        <w:rPr>
          <w:sz w:val="24"/>
          <w:szCs w:val="24"/>
        </w:rPr>
        <w:t>spp</w:t>
      </w:r>
      <w:proofErr w:type="spellEnd"/>
      <w:r w:rsidR="00B951C3" w:rsidRPr="00EE32E5">
        <w:rPr>
          <w:sz w:val="24"/>
          <w:szCs w:val="24"/>
        </w:rPr>
        <w:t xml:space="preserve">., </w:t>
      </w:r>
      <w:r w:rsidR="00B951C3" w:rsidRPr="00EE32E5">
        <w:rPr>
          <w:i/>
          <w:iCs/>
          <w:sz w:val="24"/>
          <w:szCs w:val="24"/>
        </w:rPr>
        <w:t>Clostridium</w:t>
      </w:r>
      <w:r w:rsidR="00B951C3" w:rsidRPr="00EE32E5">
        <w:rPr>
          <w:sz w:val="24"/>
          <w:szCs w:val="24"/>
        </w:rPr>
        <w:t xml:space="preserve"> </w:t>
      </w:r>
      <w:proofErr w:type="spellStart"/>
      <w:r w:rsidR="00B951C3" w:rsidRPr="00EE32E5">
        <w:rPr>
          <w:sz w:val="24"/>
          <w:szCs w:val="24"/>
        </w:rPr>
        <w:t>spp</w:t>
      </w:r>
      <w:proofErr w:type="spellEnd"/>
      <w:r w:rsidR="00B951C3" w:rsidRPr="00EE32E5">
        <w:rPr>
          <w:sz w:val="24"/>
          <w:szCs w:val="24"/>
        </w:rPr>
        <w:t xml:space="preserve">., </w:t>
      </w:r>
      <w:proofErr w:type="spellStart"/>
      <w:r w:rsidR="00B951C3" w:rsidRPr="00EE32E5">
        <w:rPr>
          <w:i/>
          <w:iCs/>
          <w:sz w:val="24"/>
          <w:szCs w:val="24"/>
        </w:rPr>
        <w:t>Eubacterium</w:t>
      </w:r>
      <w:proofErr w:type="spellEnd"/>
      <w:r w:rsidR="00B951C3" w:rsidRPr="00EE32E5">
        <w:rPr>
          <w:i/>
          <w:iCs/>
          <w:sz w:val="24"/>
          <w:szCs w:val="24"/>
        </w:rPr>
        <w:t xml:space="preserve"> </w:t>
      </w:r>
      <w:proofErr w:type="spellStart"/>
      <w:r w:rsidR="00B951C3" w:rsidRPr="00EE32E5">
        <w:rPr>
          <w:sz w:val="24"/>
          <w:szCs w:val="24"/>
        </w:rPr>
        <w:t>spp</w:t>
      </w:r>
      <w:proofErr w:type="spellEnd"/>
      <w:r w:rsidR="00B951C3" w:rsidRPr="00EE32E5">
        <w:rPr>
          <w:sz w:val="24"/>
          <w:szCs w:val="24"/>
        </w:rPr>
        <w:t xml:space="preserve">. </w:t>
      </w:r>
      <w:proofErr w:type="gramStart"/>
      <w:r w:rsidR="00B951C3" w:rsidRPr="00EE32E5">
        <w:rPr>
          <w:sz w:val="24"/>
          <w:szCs w:val="24"/>
        </w:rPr>
        <w:t>et</w:t>
      </w:r>
      <w:proofErr w:type="gramEnd"/>
      <w:r w:rsidR="00B951C3" w:rsidRPr="00EE32E5">
        <w:rPr>
          <w:sz w:val="24"/>
          <w:szCs w:val="24"/>
        </w:rPr>
        <w:t xml:space="preserve"> </w:t>
      </w:r>
      <w:proofErr w:type="spellStart"/>
      <w:r w:rsidR="00B951C3" w:rsidRPr="00EE32E5">
        <w:rPr>
          <w:i/>
          <w:iCs/>
          <w:sz w:val="24"/>
          <w:szCs w:val="24"/>
        </w:rPr>
        <w:t>Veillonella</w:t>
      </w:r>
      <w:proofErr w:type="spellEnd"/>
      <w:r w:rsidR="00B951C3" w:rsidRPr="00EE32E5">
        <w:rPr>
          <w:sz w:val="24"/>
          <w:szCs w:val="24"/>
        </w:rPr>
        <w:t xml:space="preserve"> </w:t>
      </w:r>
      <w:proofErr w:type="spellStart"/>
      <w:r w:rsidR="00B951C3" w:rsidRPr="00EE32E5">
        <w:rPr>
          <w:sz w:val="24"/>
          <w:szCs w:val="24"/>
        </w:rPr>
        <w:t>spp</w:t>
      </w:r>
      <w:proofErr w:type="spellEnd"/>
      <w:r w:rsidR="00B951C3" w:rsidRPr="00EE32E5">
        <w:rPr>
          <w:sz w:val="24"/>
          <w:szCs w:val="24"/>
        </w:rPr>
        <w:t xml:space="preserve">.) ont été isolées ou sont suspectées d’être les agents pathogènes responsables d’infections telles que : septicémie, sinusite chronique, pneumonie, empyème, abcès pulmonaire, ostéomyélite à </w:t>
      </w:r>
      <w:proofErr w:type="spellStart"/>
      <w:r w:rsidR="00B951C3" w:rsidRPr="00EE32E5">
        <w:rPr>
          <w:i/>
          <w:iCs/>
          <w:sz w:val="24"/>
          <w:szCs w:val="24"/>
        </w:rPr>
        <w:t>Bacteroides</w:t>
      </w:r>
      <w:proofErr w:type="spellEnd"/>
      <w:r w:rsidR="00B951C3" w:rsidRPr="00EE32E5">
        <w:rPr>
          <w:sz w:val="24"/>
          <w:szCs w:val="24"/>
        </w:rPr>
        <w:t>, avortement septique, péritonite, infections abdominales post-opératoires, phlegmons et infections pariétales post-opératoires.</w:t>
      </w:r>
    </w:p>
    <w:p w14:paraId="7C9569C8" w14:textId="77777777" w:rsidR="00B951C3" w:rsidRPr="00EE32E5" w:rsidRDefault="00B951C3" w:rsidP="00B951C3">
      <w:pPr>
        <w:rPr>
          <w:bCs/>
          <w:sz w:val="24"/>
          <w:szCs w:val="24"/>
        </w:rPr>
      </w:pPr>
    </w:p>
    <w:p w14:paraId="133EC253" w14:textId="37C37C10" w:rsidR="00B951C3" w:rsidRPr="00EE32E5" w:rsidRDefault="00B951C3" w:rsidP="00B951C3">
      <w:pPr>
        <w:rPr>
          <w:bCs/>
          <w:sz w:val="24"/>
          <w:szCs w:val="24"/>
        </w:rPr>
      </w:pPr>
      <w:r w:rsidRPr="00EE32E5">
        <w:rPr>
          <w:bCs/>
          <w:sz w:val="24"/>
          <w:szCs w:val="24"/>
        </w:rPr>
        <w:t xml:space="preserve">b) </w:t>
      </w:r>
      <w:r w:rsidRPr="00EE32E5">
        <w:rPr>
          <w:bCs/>
          <w:sz w:val="24"/>
          <w:szCs w:val="24"/>
          <w:u w:val="single"/>
        </w:rPr>
        <w:t>Vaginites</w:t>
      </w:r>
      <w:r w:rsidRPr="00EE32E5">
        <w:rPr>
          <w:bCs/>
          <w:sz w:val="24"/>
          <w:szCs w:val="24"/>
        </w:rPr>
        <w:t xml:space="preserve"> à </w:t>
      </w:r>
      <w:proofErr w:type="spellStart"/>
      <w:r w:rsidRPr="00EE32E5">
        <w:rPr>
          <w:bCs/>
          <w:i/>
          <w:sz w:val="24"/>
          <w:szCs w:val="24"/>
        </w:rPr>
        <w:t>Gardnerella</w:t>
      </w:r>
      <w:proofErr w:type="spellEnd"/>
      <w:r w:rsidRPr="00EE32E5">
        <w:rPr>
          <w:bCs/>
          <w:i/>
          <w:sz w:val="24"/>
          <w:szCs w:val="24"/>
        </w:rPr>
        <w:t xml:space="preserve"> </w:t>
      </w:r>
      <w:proofErr w:type="spellStart"/>
      <w:r w:rsidRPr="00EE32E5">
        <w:rPr>
          <w:bCs/>
          <w:i/>
          <w:sz w:val="24"/>
          <w:szCs w:val="24"/>
        </w:rPr>
        <w:t>vaginalis</w:t>
      </w:r>
      <w:proofErr w:type="spellEnd"/>
      <w:r w:rsidRPr="00EE32E5">
        <w:rPr>
          <w:bCs/>
          <w:sz w:val="24"/>
          <w:szCs w:val="24"/>
        </w:rPr>
        <w:t>.</w:t>
      </w:r>
    </w:p>
    <w:p w14:paraId="6EE43C3C" w14:textId="77777777" w:rsidR="00B951C3" w:rsidRPr="00EE32E5" w:rsidRDefault="00B951C3" w:rsidP="001E592A">
      <w:pPr>
        <w:rPr>
          <w:sz w:val="24"/>
          <w:szCs w:val="24"/>
        </w:rPr>
      </w:pPr>
    </w:p>
    <w:p w14:paraId="587EB218" w14:textId="77777777" w:rsidR="00CE7805" w:rsidRDefault="00B951C3" w:rsidP="00CE7805">
      <w:pPr>
        <w:jc w:val="both"/>
        <w:rPr>
          <w:sz w:val="24"/>
          <w:szCs w:val="24"/>
        </w:rPr>
      </w:pPr>
      <w:r w:rsidRPr="00EE32E5">
        <w:rPr>
          <w:sz w:val="24"/>
          <w:szCs w:val="24"/>
        </w:rPr>
        <w:t xml:space="preserve">c) </w:t>
      </w:r>
      <w:r w:rsidRPr="00EE32E5">
        <w:rPr>
          <w:sz w:val="24"/>
          <w:szCs w:val="24"/>
          <w:u w:val="single"/>
        </w:rPr>
        <w:t>Infections des voies génito-urinaires</w:t>
      </w:r>
      <w:r w:rsidRPr="00EE32E5">
        <w:rPr>
          <w:sz w:val="24"/>
          <w:szCs w:val="24"/>
        </w:rPr>
        <w:t xml:space="preserve"> causées par </w:t>
      </w:r>
      <w:r w:rsidRPr="00EE32E5">
        <w:rPr>
          <w:i/>
          <w:iCs/>
          <w:sz w:val="24"/>
          <w:szCs w:val="24"/>
        </w:rPr>
        <w:t xml:space="preserve">Trichomonas </w:t>
      </w:r>
      <w:proofErr w:type="spellStart"/>
      <w:r w:rsidRPr="00EE32E5">
        <w:rPr>
          <w:i/>
          <w:iCs/>
          <w:sz w:val="24"/>
          <w:szCs w:val="24"/>
        </w:rPr>
        <w:t>viginalis</w:t>
      </w:r>
      <w:proofErr w:type="spellEnd"/>
      <w:r w:rsidRPr="00EE32E5">
        <w:rPr>
          <w:sz w:val="24"/>
          <w:szCs w:val="24"/>
        </w:rPr>
        <w:t>, tant chez l’homme que che</w:t>
      </w:r>
      <w:r w:rsidR="00EE693F">
        <w:rPr>
          <w:sz w:val="24"/>
          <w:szCs w:val="24"/>
        </w:rPr>
        <w:t>z</w:t>
      </w:r>
      <w:r w:rsidRPr="00EE32E5">
        <w:rPr>
          <w:sz w:val="24"/>
          <w:szCs w:val="24"/>
        </w:rPr>
        <w:t xml:space="preserve"> la femme.</w:t>
      </w:r>
    </w:p>
    <w:p w14:paraId="5F22D695" w14:textId="0F8330CB" w:rsidR="001E592A" w:rsidRPr="00EE32E5" w:rsidRDefault="00B951C3" w:rsidP="00EE32E5">
      <w:pPr>
        <w:jc w:val="both"/>
        <w:rPr>
          <w:sz w:val="24"/>
          <w:szCs w:val="24"/>
        </w:rPr>
      </w:pPr>
      <w:r w:rsidRPr="00EE32E5">
        <w:rPr>
          <w:sz w:val="24"/>
          <w:szCs w:val="24"/>
        </w:rPr>
        <w:t xml:space="preserve">Lorsqu’une infection par </w:t>
      </w:r>
      <w:r w:rsidRPr="00EE32E5">
        <w:rPr>
          <w:i/>
          <w:iCs/>
          <w:sz w:val="24"/>
          <w:szCs w:val="24"/>
        </w:rPr>
        <w:t xml:space="preserve">Trichomonas </w:t>
      </w:r>
      <w:proofErr w:type="spellStart"/>
      <w:r w:rsidRPr="00EE32E5">
        <w:rPr>
          <w:i/>
          <w:iCs/>
          <w:sz w:val="24"/>
          <w:szCs w:val="24"/>
        </w:rPr>
        <w:t>vaginalis</w:t>
      </w:r>
      <w:proofErr w:type="spellEnd"/>
      <w:r w:rsidRPr="00EE32E5">
        <w:rPr>
          <w:sz w:val="24"/>
          <w:szCs w:val="24"/>
        </w:rPr>
        <w:t xml:space="preserve"> est confirmée ou même suspectée, il est recommandé de traiter simultanément le patient et son </w:t>
      </w:r>
      <w:r w:rsidR="009D6F9C" w:rsidRPr="00EE32E5">
        <w:rPr>
          <w:sz w:val="24"/>
          <w:szCs w:val="24"/>
        </w:rPr>
        <w:t>conjoint.</w:t>
      </w:r>
    </w:p>
    <w:p w14:paraId="11623C69" w14:textId="77777777" w:rsidR="009D6F9C" w:rsidRPr="00EE32E5" w:rsidRDefault="009D6F9C" w:rsidP="001E592A">
      <w:pPr>
        <w:rPr>
          <w:sz w:val="24"/>
          <w:szCs w:val="24"/>
        </w:rPr>
      </w:pPr>
    </w:p>
    <w:p w14:paraId="474B04D9" w14:textId="7922D82E" w:rsidR="001E592A" w:rsidRPr="00EE32E5" w:rsidRDefault="009D6F9C" w:rsidP="00EE32E5">
      <w:pPr>
        <w:jc w:val="both"/>
        <w:rPr>
          <w:sz w:val="24"/>
          <w:szCs w:val="24"/>
        </w:rPr>
      </w:pPr>
      <w:r w:rsidRPr="00EE32E5">
        <w:rPr>
          <w:sz w:val="24"/>
          <w:szCs w:val="24"/>
        </w:rPr>
        <w:t xml:space="preserve">d) </w:t>
      </w:r>
      <w:r w:rsidRPr="00EE32E5">
        <w:rPr>
          <w:sz w:val="24"/>
          <w:szCs w:val="24"/>
          <w:u w:val="single"/>
        </w:rPr>
        <w:t>I</w:t>
      </w:r>
      <w:r w:rsidR="001E592A" w:rsidRPr="00EE32E5">
        <w:rPr>
          <w:sz w:val="24"/>
          <w:szCs w:val="24"/>
          <w:u w:val="single"/>
        </w:rPr>
        <w:t>nfections intestinales et hépatiques</w:t>
      </w:r>
      <w:r w:rsidR="001E592A" w:rsidRPr="00EE32E5">
        <w:rPr>
          <w:sz w:val="24"/>
          <w:szCs w:val="24"/>
        </w:rPr>
        <w:t xml:space="preserve"> causées par </w:t>
      </w:r>
      <w:proofErr w:type="spellStart"/>
      <w:r w:rsidR="001E592A" w:rsidRPr="00EE32E5">
        <w:rPr>
          <w:i/>
          <w:iCs/>
          <w:sz w:val="24"/>
          <w:szCs w:val="24"/>
        </w:rPr>
        <w:t>Entamoeba</w:t>
      </w:r>
      <w:proofErr w:type="spellEnd"/>
      <w:r w:rsidR="001E592A" w:rsidRPr="00EE32E5">
        <w:rPr>
          <w:i/>
          <w:iCs/>
          <w:sz w:val="24"/>
          <w:szCs w:val="24"/>
        </w:rPr>
        <w:t xml:space="preserve"> </w:t>
      </w:r>
      <w:proofErr w:type="spellStart"/>
      <w:r w:rsidR="001E592A" w:rsidRPr="00EE32E5">
        <w:rPr>
          <w:i/>
          <w:iCs/>
          <w:sz w:val="24"/>
          <w:szCs w:val="24"/>
        </w:rPr>
        <w:t>histolytica</w:t>
      </w:r>
      <w:proofErr w:type="spellEnd"/>
      <w:r w:rsidR="001E592A" w:rsidRPr="00EE32E5">
        <w:rPr>
          <w:sz w:val="24"/>
          <w:szCs w:val="24"/>
        </w:rPr>
        <w:t xml:space="preserve"> et des infections intestinales </w:t>
      </w:r>
      <w:r w:rsidRPr="00EE32E5">
        <w:rPr>
          <w:sz w:val="24"/>
          <w:szCs w:val="24"/>
        </w:rPr>
        <w:t>causées par</w:t>
      </w:r>
      <w:r w:rsidR="001E592A" w:rsidRPr="00EE32E5">
        <w:rPr>
          <w:sz w:val="24"/>
          <w:szCs w:val="24"/>
        </w:rPr>
        <w:t xml:space="preserve"> </w:t>
      </w:r>
      <w:r w:rsidR="001E592A" w:rsidRPr="00EE32E5">
        <w:rPr>
          <w:i/>
          <w:sz w:val="24"/>
          <w:szCs w:val="24"/>
        </w:rPr>
        <w:t xml:space="preserve">Giardia </w:t>
      </w:r>
      <w:proofErr w:type="spellStart"/>
      <w:r w:rsidR="001E592A" w:rsidRPr="00EE32E5">
        <w:rPr>
          <w:i/>
          <w:sz w:val="24"/>
          <w:szCs w:val="24"/>
        </w:rPr>
        <w:t>lamblia</w:t>
      </w:r>
      <w:proofErr w:type="spellEnd"/>
      <w:r w:rsidRPr="00EE32E5">
        <w:rPr>
          <w:i/>
          <w:sz w:val="24"/>
          <w:szCs w:val="24"/>
        </w:rPr>
        <w:t>.</w:t>
      </w:r>
    </w:p>
    <w:p w14:paraId="35237A39" w14:textId="42D83484" w:rsidR="00EE693F" w:rsidRDefault="00EE693F">
      <w:pPr>
        <w:rPr>
          <w:b/>
          <w:noProof/>
          <w:sz w:val="24"/>
          <w:szCs w:val="24"/>
        </w:rPr>
      </w:pPr>
    </w:p>
    <w:p w14:paraId="7B637B99" w14:textId="3289A002" w:rsidR="00BD6B56" w:rsidRDefault="00BD6B56">
      <w:pPr>
        <w:rPr>
          <w:b/>
          <w:noProof/>
          <w:sz w:val="24"/>
          <w:szCs w:val="24"/>
        </w:rPr>
      </w:pPr>
    </w:p>
    <w:p w14:paraId="64CC3747" w14:textId="097194BC" w:rsidR="00BD6B56" w:rsidRDefault="00BD6B56">
      <w:pPr>
        <w:rPr>
          <w:b/>
          <w:noProof/>
          <w:sz w:val="24"/>
          <w:szCs w:val="24"/>
        </w:rPr>
      </w:pPr>
    </w:p>
    <w:p w14:paraId="6563A006" w14:textId="39FEFB12" w:rsidR="00BD6B56" w:rsidRDefault="00BD6B56">
      <w:pPr>
        <w:rPr>
          <w:b/>
          <w:noProof/>
          <w:sz w:val="24"/>
          <w:szCs w:val="24"/>
        </w:rPr>
      </w:pPr>
    </w:p>
    <w:p w14:paraId="05F2A2CE" w14:textId="77777777" w:rsidR="00BD6B56" w:rsidRDefault="00BD6B56">
      <w:pPr>
        <w:rPr>
          <w:b/>
          <w:noProof/>
          <w:sz w:val="24"/>
          <w:szCs w:val="24"/>
        </w:rPr>
      </w:pPr>
    </w:p>
    <w:p w14:paraId="7C0FE9A2" w14:textId="09CDBEF5" w:rsidR="001E592A" w:rsidRPr="00EE32E5" w:rsidRDefault="001E592A" w:rsidP="002615F4">
      <w:pPr>
        <w:suppressAutoHyphens/>
        <w:ind w:left="567" w:hanging="567"/>
        <w:rPr>
          <w:b/>
          <w:noProof/>
          <w:sz w:val="24"/>
          <w:szCs w:val="24"/>
        </w:rPr>
      </w:pPr>
      <w:r w:rsidRPr="00EE32E5">
        <w:rPr>
          <w:b/>
          <w:noProof/>
          <w:sz w:val="24"/>
          <w:szCs w:val="24"/>
        </w:rPr>
        <w:lastRenderedPageBreak/>
        <w:t>4.2</w:t>
      </w:r>
      <w:r w:rsidRPr="00EE32E5">
        <w:rPr>
          <w:b/>
          <w:noProof/>
          <w:sz w:val="24"/>
          <w:szCs w:val="24"/>
        </w:rPr>
        <w:tab/>
        <w:t>Posologie et mode d’administration</w:t>
      </w:r>
    </w:p>
    <w:p w14:paraId="0B39723D" w14:textId="77777777" w:rsidR="00EE693F" w:rsidRPr="00EE32E5" w:rsidRDefault="00EE693F" w:rsidP="001E592A">
      <w:pPr>
        <w:suppressAutoHyphens/>
        <w:ind w:left="567" w:hanging="567"/>
        <w:rPr>
          <w:noProof/>
          <w:sz w:val="24"/>
          <w:szCs w:val="24"/>
        </w:rPr>
      </w:pPr>
    </w:p>
    <w:p w14:paraId="7F645E4B" w14:textId="708D3461" w:rsidR="004970DE" w:rsidRPr="00EE32E5" w:rsidRDefault="009D6F9C" w:rsidP="001E592A">
      <w:pPr>
        <w:suppressAutoHyphens/>
        <w:ind w:left="567" w:hanging="567"/>
        <w:rPr>
          <w:noProof/>
          <w:sz w:val="24"/>
          <w:szCs w:val="24"/>
          <w:u w:val="single"/>
        </w:rPr>
      </w:pPr>
      <w:r w:rsidRPr="00EE32E5">
        <w:rPr>
          <w:noProof/>
          <w:sz w:val="24"/>
          <w:szCs w:val="24"/>
          <w:u w:val="single"/>
        </w:rPr>
        <w:t>Posologie</w:t>
      </w:r>
    </w:p>
    <w:p w14:paraId="4DA3DF25" w14:textId="77777777" w:rsidR="004970DE" w:rsidRPr="00EE32E5" w:rsidRDefault="004970DE" w:rsidP="001E592A">
      <w:pPr>
        <w:suppressAutoHyphens/>
        <w:ind w:left="567" w:hanging="567"/>
        <w:rPr>
          <w:noProof/>
          <w:sz w:val="24"/>
          <w:szCs w:val="24"/>
        </w:rPr>
      </w:pPr>
    </w:p>
    <w:p w14:paraId="22B47EB0" w14:textId="593AD187" w:rsidR="00307783" w:rsidRDefault="009D6F9C" w:rsidP="00307783">
      <w:pPr>
        <w:autoSpaceDE w:val="0"/>
        <w:autoSpaceDN w:val="0"/>
        <w:adjustRightInd w:val="0"/>
        <w:rPr>
          <w:sz w:val="24"/>
          <w:szCs w:val="24"/>
          <w:lang w:eastAsia="fr-BE"/>
        </w:rPr>
      </w:pPr>
      <w:r w:rsidRPr="00EE32E5">
        <w:rPr>
          <w:sz w:val="24"/>
          <w:szCs w:val="24"/>
          <w:lang w:eastAsia="fr-BE"/>
        </w:rPr>
        <w:t>1.</w:t>
      </w:r>
      <w:r w:rsidR="00307783" w:rsidRPr="00EE32E5">
        <w:rPr>
          <w:i/>
          <w:iCs/>
          <w:sz w:val="24"/>
          <w:szCs w:val="24"/>
          <w:lang w:eastAsia="fr-BE"/>
        </w:rPr>
        <w:t xml:space="preserve"> </w:t>
      </w:r>
      <w:proofErr w:type="spellStart"/>
      <w:r w:rsidR="00307783" w:rsidRPr="00EE32E5">
        <w:rPr>
          <w:sz w:val="24"/>
          <w:szCs w:val="24"/>
          <w:u w:val="single"/>
          <w:lang w:eastAsia="fr-BE"/>
        </w:rPr>
        <w:t>Trichomonase</w:t>
      </w:r>
      <w:proofErr w:type="spellEnd"/>
      <w:r w:rsidR="00307783" w:rsidRPr="00EE32E5">
        <w:rPr>
          <w:sz w:val="24"/>
          <w:szCs w:val="24"/>
          <w:u w:val="single"/>
          <w:lang w:eastAsia="fr-BE"/>
        </w:rPr>
        <w:t xml:space="preserve"> uro-génitale</w:t>
      </w:r>
    </w:p>
    <w:p w14:paraId="315F4737" w14:textId="77777777" w:rsidR="009D6F9C" w:rsidRPr="00EE32E5" w:rsidRDefault="009D6F9C" w:rsidP="00307783">
      <w:pPr>
        <w:autoSpaceDE w:val="0"/>
        <w:autoSpaceDN w:val="0"/>
        <w:adjustRightInd w:val="0"/>
        <w:rPr>
          <w:sz w:val="24"/>
          <w:szCs w:val="24"/>
          <w:lang w:eastAsia="fr-BE"/>
        </w:rPr>
      </w:pPr>
    </w:p>
    <w:p w14:paraId="486D42B7" w14:textId="7710DC94" w:rsidR="00680A28" w:rsidRPr="00EE32E5" w:rsidRDefault="009D6F9C" w:rsidP="00EE32E5">
      <w:pPr>
        <w:autoSpaceDE w:val="0"/>
        <w:autoSpaceDN w:val="0"/>
        <w:adjustRightInd w:val="0"/>
        <w:jc w:val="both"/>
        <w:rPr>
          <w:sz w:val="24"/>
          <w:szCs w:val="24"/>
          <w:lang w:eastAsia="fr-BE"/>
        </w:rPr>
      </w:pPr>
      <w:r w:rsidRPr="00EE32E5">
        <w:rPr>
          <w:sz w:val="24"/>
          <w:szCs w:val="24"/>
          <w:lang w:eastAsia="fr-BE"/>
        </w:rPr>
        <w:t xml:space="preserve">La posologie recommandée </w:t>
      </w:r>
      <w:proofErr w:type="gramStart"/>
      <w:r w:rsidRPr="00EE32E5">
        <w:rPr>
          <w:sz w:val="24"/>
          <w:szCs w:val="24"/>
          <w:lang w:eastAsia="fr-BE"/>
        </w:rPr>
        <w:t>de la trichomonas</w:t>
      </w:r>
      <w:proofErr w:type="gramEnd"/>
      <w:r w:rsidRPr="00EE32E5">
        <w:rPr>
          <w:sz w:val="24"/>
          <w:szCs w:val="24"/>
          <w:lang w:eastAsia="fr-BE"/>
        </w:rPr>
        <w:t xml:space="preserve"> uro-génitale, tant chez l’homme que chez la femme, est une dose unique de 2 g de </w:t>
      </w:r>
      <w:proofErr w:type="spellStart"/>
      <w:r w:rsidRPr="00EE32E5">
        <w:rPr>
          <w:sz w:val="24"/>
          <w:szCs w:val="24"/>
          <w:lang w:eastAsia="fr-BE"/>
        </w:rPr>
        <w:t>tinidazole</w:t>
      </w:r>
      <w:proofErr w:type="spellEnd"/>
      <w:r w:rsidRPr="00EE32E5">
        <w:rPr>
          <w:sz w:val="24"/>
          <w:szCs w:val="24"/>
          <w:lang w:eastAsia="fr-BE"/>
        </w:rPr>
        <w:t>, soit 4 comprimés de TINAZOL en une seule prise.</w:t>
      </w:r>
    </w:p>
    <w:p w14:paraId="40DCB147" w14:textId="77777777" w:rsidR="009D6F9C" w:rsidRPr="00EE32E5" w:rsidRDefault="009D6F9C" w:rsidP="00307783">
      <w:pPr>
        <w:autoSpaceDE w:val="0"/>
        <w:autoSpaceDN w:val="0"/>
        <w:adjustRightInd w:val="0"/>
        <w:rPr>
          <w:sz w:val="24"/>
          <w:szCs w:val="24"/>
          <w:lang w:eastAsia="fr-BE"/>
        </w:rPr>
      </w:pPr>
    </w:p>
    <w:p w14:paraId="22A531A3" w14:textId="7700A5AB" w:rsidR="00307783" w:rsidRPr="00EE32E5" w:rsidRDefault="009D6F9C" w:rsidP="00307783">
      <w:pPr>
        <w:autoSpaceDE w:val="0"/>
        <w:autoSpaceDN w:val="0"/>
        <w:adjustRightInd w:val="0"/>
        <w:rPr>
          <w:i/>
          <w:iCs/>
          <w:sz w:val="24"/>
          <w:szCs w:val="24"/>
          <w:lang w:eastAsia="fr-BE"/>
        </w:rPr>
      </w:pPr>
      <w:r w:rsidRPr="00EE32E5">
        <w:rPr>
          <w:sz w:val="24"/>
          <w:szCs w:val="24"/>
          <w:lang w:eastAsia="fr-BE"/>
        </w:rPr>
        <w:t xml:space="preserve">2. </w:t>
      </w:r>
      <w:r w:rsidRPr="00EE32E5">
        <w:rPr>
          <w:sz w:val="24"/>
          <w:szCs w:val="24"/>
          <w:u w:val="single"/>
          <w:lang w:eastAsia="fr-BE"/>
        </w:rPr>
        <w:t>Amibiase</w:t>
      </w:r>
    </w:p>
    <w:p w14:paraId="366E0046" w14:textId="6EE09691" w:rsidR="00307783" w:rsidRPr="00EE32E5" w:rsidRDefault="00307783" w:rsidP="00307783">
      <w:pPr>
        <w:autoSpaceDE w:val="0"/>
        <w:autoSpaceDN w:val="0"/>
        <w:adjustRightInd w:val="0"/>
        <w:rPr>
          <w:i/>
          <w:iCs/>
          <w:sz w:val="24"/>
          <w:szCs w:val="24"/>
          <w:lang w:eastAsia="fr-BE"/>
        </w:rPr>
      </w:pPr>
      <w:r w:rsidRPr="00EE32E5">
        <w:rPr>
          <w:sz w:val="24"/>
          <w:szCs w:val="24"/>
          <w:lang w:eastAsia="fr-BE"/>
        </w:rPr>
        <w:t>a</w:t>
      </w:r>
      <w:r w:rsidRPr="00EE32E5">
        <w:rPr>
          <w:i/>
          <w:iCs/>
          <w:sz w:val="24"/>
          <w:szCs w:val="24"/>
          <w:lang w:eastAsia="fr-BE"/>
        </w:rPr>
        <w:t>.) Dysenterie amibienne aiguë</w:t>
      </w:r>
    </w:p>
    <w:p w14:paraId="350D50E7" w14:textId="40C9FA3C" w:rsidR="00C45FB2" w:rsidRPr="00EE32E5" w:rsidRDefault="00307783" w:rsidP="00EE32E5">
      <w:pPr>
        <w:autoSpaceDE w:val="0"/>
        <w:autoSpaceDN w:val="0"/>
        <w:adjustRightInd w:val="0"/>
        <w:jc w:val="both"/>
        <w:rPr>
          <w:sz w:val="24"/>
          <w:szCs w:val="24"/>
          <w:lang w:eastAsia="fr-BE"/>
        </w:rPr>
      </w:pPr>
      <w:r w:rsidRPr="00EE32E5">
        <w:rPr>
          <w:sz w:val="24"/>
          <w:szCs w:val="24"/>
          <w:lang w:eastAsia="fr-BE"/>
        </w:rPr>
        <w:t xml:space="preserve">La posologie </w:t>
      </w:r>
      <w:r w:rsidR="009D6F9C">
        <w:rPr>
          <w:sz w:val="24"/>
          <w:szCs w:val="24"/>
          <w:lang w:eastAsia="fr-BE"/>
        </w:rPr>
        <w:t xml:space="preserve">recommandée </w:t>
      </w:r>
      <w:r w:rsidRPr="00EE32E5">
        <w:rPr>
          <w:sz w:val="24"/>
          <w:szCs w:val="24"/>
          <w:lang w:eastAsia="fr-BE"/>
        </w:rPr>
        <w:t xml:space="preserve">pour le traitement de la dysenterie amibienne aiguë est de 4 comprimés de </w:t>
      </w:r>
      <w:r w:rsidR="009D6F9C">
        <w:rPr>
          <w:sz w:val="24"/>
          <w:szCs w:val="24"/>
          <w:lang w:eastAsia="fr-BE"/>
        </w:rPr>
        <w:t>TINAZOL</w:t>
      </w:r>
      <w:r w:rsidRPr="00EE32E5">
        <w:rPr>
          <w:sz w:val="24"/>
          <w:szCs w:val="24"/>
          <w:lang w:eastAsia="fr-BE"/>
        </w:rPr>
        <w:t>, en une seule prise</w:t>
      </w:r>
      <w:r w:rsidR="009D6F9C">
        <w:rPr>
          <w:sz w:val="24"/>
          <w:szCs w:val="24"/>
          <w:lang w:eastAsia="fr-BE"/>
        </w:rPr>
        <w:t xml:space="preserve"> journalière</w:t>
      </w:r>
      <w:r w:rsidRPr="00EE32E5">
        <w:rPr>
          <w:sz w:val="24"/>
          <w:szCs w:val="24"/>
          <w:lang w:eastAsia="fr-BE"/>
        </w:rPr>
        <w:t xml:space="preserve"> pendant 2 à 3 jours.</w:t>
      </w:r>
      <w:r w:rsidR="00EE693F">
        <w:rPr>
          <w:sz w:val="24"/>
          <w:szCs w:val="24"/>
          <w:lang w:eastAsia="fr-BE"/>
        </w:rPr>
        <w:t xml:space="preserve"> </w:t>
      </w:r>
      <w:r w:rsidR="009D6F9C">
        <w:rPr>
          <w:sz w:val="24"/>
          <w:szCs w:val="24"/>
          <w:lang w:eastAsia="fr-BE"/>
        </w:rPr>
        <w:t>Dans les cas où un traitement de 3 jours</w:t>
      </w:r>
      <w:r w:rsidRPr="00EE32E5">
        <w:rPr>
          <w:sz w:val="24"/>
          <w:szCs w:val="24"/>
          <w:lang w:eastAsia="fr-BE"/>
        </w:rPr>
        <w:t xml:space="preserve">, à raison de 2 g par jour, se révèle insuffisant, la durée totale du traitement peut être portée à 6 jours. </w:t>
      </w:r>
    </w:p>
    <w:p w14:paraId="7156BA26" w14:textId="77777777" w:rsidR="009D6F9C" w:rsidRDefault="009D6F9C" w:rsidP="00307783">
      <w:pPr>
        <w:autoSpaceDE w:val="0"/>
        <w:autoSpaceDN w:val="0"/>
        <w:adjustRightInd w:val="0"/>
        <w:rPr>
          <w:i/>
          <w:iCs/>
          <w:sz w:val="24"/>
          <w:szCs w:val="24"/>
          <w:lang w:eastAsia="fr-BE"/>
        </w:rPr>
      </w:pPr>
    </w:p>
    <w:p w14:paraId="2ED5DA58" w14:textId="1D48E5F2" w:rsidR="00307783" w:rsidRPr="00EE32E5" w:rsidRDefault="00307783" w:rsidP="00307783">
      <w:pPr>
        <w:autoSpaceDE w:val="0"/>
        <w:autoSpaceDN w:val="0"/>
        <w:adjustRightInd w:val="0"/>
        <w:rPr>
          <w:i/>
          <w:iCs/>
          <w:sz w:val="24"/>
          <w:szCs w:val="24"/>
          <w:lang w:eastAsia="fr-BE"/>
        </w:rPr>
      </w:pPr>
      <w:r w:rsidRPr="00EE32E5">
        <w:rPr>
          <w:sz w:val="24"/>
          <w:szCs w:val="24"/>
          <w:lang w:eastAsia="fr-BE"/>
        </w:rPr>
        <w:t xml:space="preserve">b.) </w:t>
      </w:r>
      <w:r w:rsidRPr="00EE32E5">
        <w:rPr>
          <w:i/>
          <w:iCs/>
          <w:sz w:val="24"/>
          <w:szCs w:val="24"/>
          <w:lang w:eastAsia="fr-BE"/>
        </w:rPr>
        <w:t>Abcès hépatiques amibiens</w:t>
      </w:r>
    </w:p>
    <w:p w14:paraId="5D2636B6" w14:textId="6BBF6BC8" w:rsidR="00CA4300" w:rsidRPr="00EE32E5" w:rsidRDefault="00307783" w:rsidP="00EE32E5">
      <w:pPr>
        <w:autoSpaceDE w:val="0"/>
        <w:autoSpaceDN w:val="0"/>
        <w:adjustRightInd w:val="0"/>
        <w:jc w:val="both"/>
        <w:rPr>
          <w:sz w:val="24"/>
          <w:szCs w:val="24"/>
          <w:lang w:eastAsia="fr-BE"/>
        </w:rPr>
      </w:pPr>
      <w:r w:rsidRPr="00EE32E5">
        <w:rPr>
          <w:sz w:val="24"/>
          <w:szCs w:val="24"/>
          <w:lang w:eastAsia="fr-BE"/>
        </w:rPr>
        <w:t xml:space="preserve">Pour le traitement des abcès hépatiques amibiens, la dose totale de </w:t>
      </w:r>
      <w:proofErr w:type="spellStart"/>
      <w:r w:rsidRPr="00EE32E5">
        <w:rPr>
          <w:sz w:val="24"/>
          <w:szCs w:val="24"/>
          <w:lang w:eastAsia="fr-BE"/>
        </w:rPr>
        <w:t>tinidazole</w:t>
      </w:r>
      <w:proofErr w:type="spellEnd"/>
      <w:r w:rsidRPr="00EE32E5">
        <w:rPr>
          <w:sz w:val="24"/>
          <w:szCs w:val="24"/>
          <w:lang w:eastAsia="fr-BE"/>
        </w:rPr>
        <w:t xml:space="preserve"> à administrer pour une cure va de 4,5 à 12 g, selon la virulence de l'agent pathogène. On administrera le plus souvent 3 à 4 comprimés de </w:t>
      </w:r>
      <w:r w:rsidR="009D6F9C">
        <w:rPr>
          <w:sz w:val="24"/>
          <w:szCs w:val="24"/>
          <w:lang w:eastAsia="fr-BE"/>
        </w:rPr>
        <w:t>TINAZOL</w:t>
      </w:r>
      <w:r w:rsidR="009D6F9C" w:rsidRPr="00EE32E5">
        <w:rPr>
          <w:sz w:val="24"/>
          <w:szCs w:val="24"/>
          <w:lang w:eastAsia="fr-BE"/>
        </w:rPr>
        <w:t xml:space="preserve"> </w:t>
      </w:r>
      <w:r w:rsidRPr="00EE32E5">
        <w:rPr>
          <w:sz w:val="24"/>
          <w:szCs w:val="24"/>
          <w:lang w:eastAsia="fr-BE"/>
        </w:rPr>
        <w:t xml:space="preserve">en une seule prise journalière, pendant 3 jours. Au besoin, la durée de ce traitement peut être portée à 6 jours. </w:t>
      </w:r>
    </w:p>
    <w:p w14:paraId="1E0DCEAB" w14:textId="1806E593" w:rsidR="00C45FB2" w:rsidRPr="00EE32E5" w:rsidRDefault="00C45FB2" w:rsidP="00EE32E5">
      <w:pPr>
        <w:autoSpaceDE w:val="0"/>
        <w:autoSpaceDN w:val="0"/>
        <w:adjustRightInd w:val="0"/>
        <w:jc w:val="both"/>
        <w:rPr>
          <w:sz w:val="24"/>
          <w:szCs w:val="24"/>
          <w:lang w:eastAsia="fr-BE"/>
        </w:rPr>
      </w:pPr>
      <w:r w:rsidRPr="00EE32E5">
        <w:rPr>
          <w:sz w:val="24"/>
          <w:szCs w:val="24"/>
          <w:lang w:eastAsia="fr-BE"/>
        </w:rPr>
        <w:t xml:space="preserve">L’abcès hépatique amibien peut exiger une ponction de sécrétions purulentes en complément du traitement par </w:t>
      </w:r>
      <w:r w:rsidR="009D6F9C">
        <w:rPr>
          <w:sz w:val="24"/>
          <w:szCs w:val="24"/>
          <w:lang w:eastAsia="fr-BE"/>
        </w:rPr>
        <w:t>TINAZOL</w:t>
      </w:r>
      <w:r w:rsidRPr="00EE32E5">
        <w:rPr>
          <w:sz w:val="24"/>
          <w:szCs w:val="24"/>
          <w:lang w:eastAsia="fr-BE"/>
        </w:rPr>
        <w:t>.</w:t>
      </w:r>
    </w:p>
    <w:p w14:paraId="12BE34D7" w14:textId="77777777" w:rsidR="00680A28" w:rsidRPr="00EE32E5" w:rsidRDefault="00680A28" w:rsidP="00307783">
      <w:pPr>
        <w:autoSpaceDE w:val="0"/>
        <w:autoSpaceDN w:val="0"/>
        <w:adjustRightInd w:val="0"/>
        <w:rPr>
          <w:sz w:val="24"/>
          <w:szCs w:val="24"/>
          <w:lang w:eastAsia="fr-BE"/>
        </w:rPr>
      </w:pPr>
    </w:p>
    <w:p w14:paraId="25FDD0DB" w14:textId="5BA1FA7D" w:rsidR="00307783" w:rsidRPr="00EE32E5" w:rsidRDefault="00307783" w:rsidP="00307783">
      <w:pPr>
        <w:autoSpaceDE w:val="0"/>
        <w:autoSpaceDN w:val="0"/>
        <w:adjustRightInd w:val="0"/>
        <w:rPr>
          <w:i/>
          <w:iCs/>
          <w:sz w:val="24"/>
          <w:szCs w:val="24"/>
          <w:lang w:eastAsia="fr-BE"/>
        </w:rPr>
      </w:pPr>
      <w:r w:rsidRPr="00EE32E5">
        <w:rPr>
          <w:sz w:val="24"/>
          <w:szCs w:val="24"/>
          <w:lang w:eastAsia="fr-BE"/>
        </w:rPr>
        <w:t>3.)</w:t>
      </w:r>
      <w:r w:rsidRPr="00EE32E5">
        <w:rPr>
          <w:i/>
          <w:iCs/>
          <w:sz w:val="24"/>
          <w:szCs w:val="24"/>
          <w:lang w:eastAsia="fr-BE"/>
        </w:rPr>
        <w:t xml:space="preserve"> </w:t>
      </w:r>
      <w:proofErr w:type="spellStart"/>
      <w:r w:rsidRPr="00EE32E5">
        <w:rPr>
          <w:sz w:val="24"/>
          <w:szCs w:val="24"/>
          <w:u w:val="single"/>
          <w:lang w:eastAsia="fr-BE"/>
        </w:rPr>
        <w:t>Giardiase</w:t>
      </w:r>
      <w:proofErr w:type="spellEnd"/>
    </w:p>
    <w:p w14:paraId="35CEF0E9" w14:textId="77777777" w:rsidR="009D6F9C" w:rsidRDefault="009D6F9C" w:rsidP="00307783">
      <w:pPr>
        <w:autoSpaceDE w:val="0"/>
        <w:autoSpaceDN w:val="0"/>
        <w:adjustRightInd w:val="0"/>
        <w:rPr>
          <w:sz w:val="24"/>
          <w:szCs w:val="24"/>
          <w:lang w:eastAsia="fr-BE"/>
        </w:rPr>
      </w:pPr>
    </w:p>
    <w:p w14:paraId="1542369B" w14:textId="349D8637" w:rsidR="00307783" w:rsidRPr="00EE32E5" w:rsidRDefault="00307783" w:rsidP="00EE32E5">
      <w:pPr>
        <w:autoSpaceDE w:val="0"/>
        <w:autoSpaceDN w:val="0"/>
        <w:adjustRightInd w:val="0"/>
        <w:jc w:val="both"/>
        <w:rPr>
          <w:sz w:val="24"/>
          <w:szCs w:val="24"/>
          <w:lang w:eastAsia="fr-BE"/>
        </w:rPr>
      </w:pPr>
      <w:r w:rsidRPr="00EE32E5">
        <w:rPr>
          <w:sz w:val="24"/>
          <w:szCs w:val="24"/>
          <w:lang w:eastAsia="fr-BE"/>
        </w:rPr>
        <w:t xml:space="preserve">Dans les infections du tractus intestinal causées par </w:t>
      </w:r>
      <w:r w:rsidRPr="00EE32E5">
        <w:rPr>
          <w:i/>
          <w:iCs/>
          <w:sz w:val="24"/>
          <w:szCs w:val="24"/>
          <w:lang w:eastAsia="fr-BE"/>
        </w:rPr>
        <w:t xml:space="preserve">Giardia </w:t>
      </w:r>
      <w:proofErr w:type="spellStart"/>
      <w:r w:rsidRPr="00EE32E5">
        <w:rPr>
          <w:i/>
          <w:iCs/>
          <w:sz w:val="24"/>
          <w:szCs w:val="24"/>
          <w:lang w:eastAsia="fr-BE"/>
        </w:rPr>
        <w:t>lamblia</w:t>
      </w:r>
      <w:proofErr w:type="spellEnd"/>
      <w:r w:rsidRPr="00EE32E5">
        <w:rPr>
          <w:sz w:val="24"/>
          <w:szCs w:val="24"/>
          <w:lang w:eastAsia="fr-BE"/>
        </w:rPr>
        <w:t xml:space="preserve">, la posologie préconisée est de 4 comprimés de </w:t>
      </w:r>
      <w:r w:rsidR="009D6F9C">
        <w:rPr>
          <w:sz w:val="24"/>
          <w:szCs w:val="24"/>
          <w:lang w:eastAsia="fr-BE"/>
        </w:rPr>
        <w:t>TINAZOL</w:t>
      </w:r>
      <w:r w:rsidR="009D6F9C" w:rsidRPr="00EE32E5">
        <w:rPr>
          <w:sz w:val="24"/>
          <w:szCs w:val="24"/>
          <w:lang w:eastAsia="fr-BE"/>
        </w:rPr>
        <w:t xml:space="preserve"> </w:t>
      </w:r>
      <w:r w:rsidRPr="00EE32E5">
        <w:rPr>
          <w:sz w:val="24"/>
          <w:szCs w:val="24"/>
          <w:lang w:eastAsia="fr-BE"/>
        </w:rPr>
        <w:t>en administration unique.</w:t>
      </w:r>
    </w:p>
    <w:p w14:paraId="28359201" w14:textId="46FD3F56" w:rsidR="00307783" w:rsidRPr="00EE32E5" w:rsidRDefault="00307783" w:rsidP="00307783">
      <w:pPr>
        <w:autoSpaceDE w:val="0"/>
        <w:autoSpaceDN w:val="0"/>
        <w:adjustRightInd w:val="0"/>
        <w:rPr>
          <w:sz w:val="24"/>
          <w:szCs w:val="24"/>
          <w:lang w:eastAsia="fr-BE"/>
        </w:rPr>
      </w:pPr>
      <w:r w:rsidRPr="00EE32E5">
        <w:rPr>
          <w:sz w:val="24"/>
          <w:szCs w:val="24"/>
          <w:lang w:eastAsia="fr-BE"/>
        </w:rPr>
        <w:t xml:space="preserve">Les selles d'un patient atteint de </w:t>
      </w:r>
      <w:proofErr w:type="spellStart"/>
      <w:r w:rsidRPr="00EE32E5">
        <w:rPr>
          <w:sz w:val="24"/>
          <w:szCs w:val="24"/>
          <w:lang w:eastAsia="fr-BE"/>
        </w:rPr>
        <w:t>giardiase</w:t>
      </w:r>
      <w:proofErr w:type="spellEnd"/>
      <w:r w:rsidRPr="00EE32E5">
        <w:rPr>
          <w:sz w:val="24"/>
          <w:szCs w:val="24"/>
          <w:lang w:eastAsia="fr-BE"/>
        </w:rPr>
        <w:t xml:space="preserve"> doivent être contrôlées 7 à 10 jours après le traitement pour déceler la présence éventuelle de </w:t>
      </w:r>
      <w:r w:rsidRPr="00EE32E5">
        <w:rPr>
          <w:i/>
          <w:iCs/>
          <w:sz w:val="24"/>
          <w:szCs w:val="24"/>
          <w:lang w:eastAsia="fr-BE"/>
        </w:rPr>
        <w:t xml:space="preserve">Giardia </w:t>
      </w:r>
      <w:proofErr w:type="spellStart"/>
      <w:r w:rsidRPr="00EE32E5">
        <w:rPr>
          <w:i/>
          <w:iCs/>
          <w:sz w:val="24"/>
          <w:szCs w:val="24"/>
          <w:lang w:eastAsia="fr-BE"/>
        </w:rPr>
        <w:t>lamblia</w:t>
      </w:r>
      <w:proofErr w:type="spellEnd"/>
      <w:r w:rsidRPr="00EE32E5">
        <w:rPr>
          <w:sz w:val="24"/>
          <w:szCs w:val="24"/>
          <w:lang w:eastAsia="fr-BE"/>
        </w:rPr>
        <w:t>.</w:t>
      </w:r>
    </w:p>
    <w:p w14:paraId="2A2F04F5" w14:textId="77777777" w:rsidR="00680A28" w:rsidRPr="00EE32E5" w:rsidRDefault="00680A28" w:rsidP="00307783">
      <w:pPr>
        <w:autoSpaceDE w:val="0"/>
        <w:autoSpaceDN w:val="0"/>
        <w:adjustRightInd w:val="0"/>
        <w:rPr>
          <w:sz w:val="24"/>
          <w:szCs w:val="24"/>
          <w:lang w:eastAsia="fr-BE"/>
        </w:rPr>
      </w:pPr>
    </w:p>
    <w:p w14:paraId="68DE079D" w14:textId="7C73ADDD" w:rsidR="00307783" w:rsidRPr="00EE32E5" w:rsidRDefault="00307783" w:rsidP="00307783">
      <w:pPr>
        <w:autoSpaceDE w:val="0"/>
        <w:autoSpaceDN w:val="0"/>
        <w:adjustRightInd w:val="0"/>
        <w:rPr>
          <w:i/>
          <w:iCs/>
          <w:sz w:val="24"/>
          <w:szCs w:val="24"/>
          <w:lang w:eastAsia="fr-BE"/>
        </w:rPr>
      </w:pPr>
      <w:r w:rsidRPr="00EE32E5">
        <w:rPr>
          <w:sz w:val="24"/>
          <w:szCs w:val="24"/>
          <w:lang w:eastAsia="fr-BE"/>
        </w:rPr>
        <w:t xml:space="preserve">4.) </w:t>
      </w:r>
      <w:r w:rsidRPr="00EE32E5">
        <w:rPr>
          <w:sz w:val="24"/>
          <w:szCs w:val="24"/>
          <w:u w:val="single"/>
          <w:lang w:eastAsia="fr-BE"/>
        </w:rPr>
        <w:t>Vaginite</w:t>
      </w:r>
      <w:r w:rsidRPr="00EE32E5">
        <w:rPr>
          <w:i/>
          <w:iCs/>
          <w:sz w:val="24"/>
          <w:szCs w:val="24"/>
          <w:u w:val="single"/>
          <w:lang w:eastAsia="fr-BE"/>
        </w:rPr>
        <w:t xml:space="preserve"> à </w:t>
      </w:r>
      <w:proofErr w:type="spellStart"/>
      <w:r w:rsidRPr="00EE32E5">
        <w:rPr>
          <w:i/>
          <w:iCs/>
          <w:sz w:val="24"/>
          <w:szCs w:val="24"/>
          <w:u w:val="single"/>
          <w:lang w:eastAsia="fr-BE"/>
        </w:rPr>
        <w:t>Gardnerella</w:t>
      </w:r>
      <w:proofErr w:type="spellEnd"/>
      <w:r w:rsidRPr="00EE32E5">
        <w:rPr>
          <w:i/>
          <w:iCs/>
          <w:sz w:val="24"/>
          <w:szCs w:val="24"/>
          <w:u w:val="single"/>
          <w:lang w:eastAsia="fr-BE"/>
        </w:rPr>
        <w:t xml:space="preserve"> </w:t>
      </w:r>
      <w:proofErr w:type="spellStart"/>
      <w:r w:rsidRPr="00EE32E5">
        <w:rPr>
          <w:i/>
          <w:iCs/>
          <w:sz w:val="24"/>
          <w:szCs w:val="24"/>
          <w:u w:val="single"/>
          <w:lang w:eastAsia="fr-BE"/>
        </w:rPr>
        <w:t>vaginalis</w:t>
      </w:r>
      <w:proofErr w:type="spellEnd"/>
    </w:p>
    <w:p w14:paraId="3CEAD7AF" w14:textId="77777777" w:rsidR="001521E8" w:rsidRDefault="001521E8" w:rsidP="00307783">
      <w:pPr>
        <w:autoSpaceDE w:val="0"/>
        <w:autoSpaceDN w:val="0"/>
        <w:adjustRightInd w:val="0"/>
        <w:rPr>
          <w:sz w:val="24"/>
          <w:szCs w:val="24"/>
          <w:lang w:eastAsia="fr-BE"/>
        </w:rPr>
      </w:pPr>
    </w:p>
    <w:p w14:paraId="28D6FF5B" w14:textId="7CE1FF80" w:rsidR="00307783" w:rsidRPr="00EE32E5" w:rsidRDefault="00307783" w:rsidP="00EE32E5">
      <w:pPr>
        <w:autoSpaceDE w:val="0"/>
        <w:autoSpaceDN w:val="0"/>
        <w:adjustRightInd w:val="0"/>
        <w:jc w:val="both"/>
        <w:rPr>
          <w:sz w:val="24"/>
          <w:szCs w:val="24"/>
          <w:lang w:eastAsia="fr-BE"/>
        </w:rPr>
      </w:pPr>
      <w:r w:rsidRPr="00EE32E5">
        <w:rPr>
          <w:sz w:val="24"/>
          <w:szCs w:val="24"/>
          <w:lang w:eastAsia="fr-BE"/>
        </w:rPr>
        <w:t xml:space="preserve">Des cas de vaginite à </w:t>
      </w:r>
      <w:proofErr w:type="spellStart"/>
      <w:r w:rsidRPr="00EE32E5">
        <w:rPr>
          <w:i/>
          <w:iCs/>
          <w:sz w:val="24"/>
          <w:szCs w:val="24"/>
          <w:lang w:eastAsia="fr-BE"/>
        </w:rPr>
        <w:t>Gardnerella</w:t>
      </w:r>
      <w:proofErr w:type="spellEnd"/>
      <w:r w:rsidRPr="00EE32E5">
        <w:rPr>
          <w:i/>
          <w:iCs/>
          <w:sz w:val="24"/>
          <w:szCs w:val="24"/>
          <w:lang w:eastAsia="fr-BE"/>
        </w:rPr>
        <w:t xml:space="preserve"> </w:t>
      </w:r>
      <w:proofErr w:type="spellStart"/>
      <w:r w:rsidRPr="00EE32E5">
        <w:rPr>
          <w:i/>
          <w:iCs/>
          <w:sz w:val="24"/>
          <w:szCs w:val="24"/>
          <w:lang w:eastAsia="fr-BE"/>
        </w:rPr>
        <w:t>vaginalis</w:t>
      </w:r>
      <w:proofErr w:type="spellEnd"/>
      <w:r w:rsidRPr="00EE32E5">
        <w:rPr>
          <w:i/>
          <w:iCs/>
          <w:sz w:val="24"/>
          <w:szCs w:val="24"/>
          <w:lang w:eastAsia="fr-BE"/>
        </w:rPr>
        <w:t xml:space="preserve"> </w:t>
      </w:r>
      <w:r w:rsidRPr="00EE32E5">
        <w:rPr>
          <w:sz w:val="24"/>
          <w:szCs w:val="24"/>
          <w:lang w:eastAsia="fr-BE"/>
        </w:rPr>
        <w:t xml:space="preserve">ont été traités avec succès par une dose orale unique de 2 g de </w:t>
      </w:r>
      <w:proofErr w:type="spellStart"/>
      <w:r w:rsidRPr="00EE32E5">
        <w:rPr>
          <w:sz w:val="24"/>
          <w:szCs w:val="24"/>
          <w:lang w:eastAsia="fr-BE"/>
        </w:rPr>
        <w:t>tinidazole</w:t>
      </w:r>
      <w:proofErr w:type="spellEnd"/>
      <w:r w:rsidRPr="00EE32E5">
        <w:rPr>
          <w:sz w:val="24"/>
          <w:szCs w:val="24"/>
          <w:lang w:eastAsia="fr-BE"/>
        </w:rPr>
        <w:t xml:space="preserve">, soit 4 comprimés de </w:t>
      </w:r>
      <w:r w:rsidR="001521E8">
        <w:rPr>
          <w:sz w:val="24"/>
          <w:szCs w:val="24"/>
          <w:lang w:eastAsia="fr-BE"/>
        </w:rPr>
        <w:t>TINAZOL</w:t>
      </w:r>
      <w:r w:rsidRPr="00EE32E5">
        <w:rPr>
          <w:sz w:val="24"/>
          <w:szCs w:val="24"/>
          <w:lang w:eastAsia="fr-BE"/>
        </w:rPr>
        <w:t>. De meilleurs taux de guérison ont toutefois été obtenus par l'administration de doses journalières de 2 g pendant deux jours (soit 4 g au total).</w:t>
      </w:r>
    </w:p>
    <w:p w14:paraId="39E0B211" w14:textId="77777777" w:rsidR="006F0053" w:rsidRPr="00EE32E5" w:rsidRDefault="006F0053" w:rsidP="00307783">
      <w:pPr>
        <w:autoSpaceDE w:val="0"/>
        <w:autoSpaceDN w:val="0"/>
        <w:adjustRightInd w:val="0"/>
        <w:rPr>
          <w:sz w:val="24"/>
          <w:szCs w:val="24"/>
          <w:lang w:eastAsia="fr-BE"/>
        </w:rPr>
      </w:pPr>
    </w:p>
    <w:p w14:paraId="457CF350" w14:textId="77777777" w:rsidR="001521E8" w:rsidRPr="00EE32E5" w:rsidRDefault="00307783" w:rsidP="00307783">
      <w:pPr>
        <w:autoSpaceDE w:val="0"/>
        <w:autoSpaceDN w:val="0"/>
        <w:adjustRightInd w:val="0"/>
        <w:rPr>
          <w:sz w:val="24"/>
          <w:szCs w:val="24"/>
          <w:lang w:eastAsia="fr-BE"/>
        </w:rPr>
      </w:pPr>
      <w:r w:rsidRPr="00EE32E5">
        <w:rPr>
          <w:sz w:val="24"/>
          <w:szCs w:val="24"/>
          <w:lang w:eastAsia="fr-BE"/>
        </w:rPr>
        <w:t xml:space="preserve">5.) </w:t>
      </w:r>
      <w:r w:rsidRPr="00EE32E5">
        <w:rPr>
          <w:sz w:val="24"/>
          <w:szCs w:val="24"/>
          <w:u w:val="single"/>
          <w:lang w:eastAsia="fr-BE"/>
        </w:rPr>
        <w:t>Infections anaérobies</w:t>
      </w:r>
    </w:p>
    <w:p w14:paraId="6E5BAB52" w14:textId="0513DA66" w:rsidR="00307783" w:rsidRPr="00EE32E5" w:rsidRDefault="00307783" w:rsidP="00307783">
      <w:pPr>
        <w:autoSpaceDE w:val="0"/>
        <w:autoSpaceDN w:val="0"/>
        <w:adjustRightInd w:val="0"/>
        <w:rPr>
          <w:i/>
          <w:iCs/>
          <w:sz w:val="24"/>
          <w:szCs w:val="24"/>
          <w:lang w:eastAsia="fr-BE"/>
        </w:rPr>
      </w:pPr>
    </w:p>
    <w:p w14:paraId="4DC84BB2" w14:textId="338FD5A9" w:rsidR="00307783" w:rsidRPr="00EE32E5" w:rsidRDefault="00307783" w:rsidP="00EE32E5">
      <w:pPr>
        <w:autoSpaceDE w:val="0"/>
        <w:autoSpaceDN w:val="0"/>
        <w:adjustRightInd w:val="0"/>
        <w:jc w:val="both"/>
        <w:rPr>
          <w:sz w:val="24"/>
          <w:szCs w:val="24"/>
          <w:lang w:eastAsia="fr-BE"/>
        </w:rPr>
      </w:pPr>
      <w:r w:rsidRPr="00EE32E5">
        <w:rPr>
          <w:sz w:val="24"/>
          <w:szCs w:val="24"/>
          <w:lang w:eastAsia="fr-BE"/>
        </w:rPr>
        <w:t>Administration en dose unique de 2 g le premier jour et de 1 g les jours suivants</w:t>
      </w:r>
      <w:r w:rsidR="001521E8">
        <w:rPr>
          <w:sz w:val="24"/>
          <w:szCs w:val="24"/>
          <w:lang w:eastAsia="fr-BE"/>
        </w:rPr>
        <w:t xml:space="preserve"> (ou en deux prises de 500 mg)</w:t>
      </w:r>
      <w:r w:rsidRPr="00EE32E5">
        <w:rPr>
          <w:sz w:val="24"/>
          <w:szCs w:val="24"/>
          <w:lang w:eastAsia="fr-BE"/>
        </w:rPr>
        <w:t xml:space="preserve">. Un traitement de 5 à 6 jours est habituellement adéquat. </w:t>
      </w:r>
      <w:r w:rsidR="001521E8">
        <w:rPr>
          <w:sz w:val="24"/>
          <w:szCs w:val="24"/>
          <w:lang w:eastAsia="fr-BE"/>
        </w:rPr>
        <w:t>L</w:t>
      </w:r>
      <w:r w:rsidRPr="00EE32E5">
        <w:rPr>
          <w:sz w:val="24"/>
          <w:szCs w:val="24"/>
          <w:lang w:eastAsia="fr-BE"/>
        </w:rPr>
        <w:t>a durée du traitement devra être déterminée en fonction de l'évaluation clinique de l'état du patient, notamment lorsque l'éradication de certains foyers d'infection se révèle difficile.</w:t>
      </w:r>
    </w:p>
    <w:p w14:paraId="180CBC84" w14:textId="77777777" w:rsidR="00307783" w:rsidRPr="00EE32E5" w:rsidRDefault="00307783" w:rsidP="001E592A">
      <w:pPr>
        <w:suppressAutoHyphens/>
        <w:ind w:left="567" w:hanging="567"/>
        <w:rPr>
          <w:noProof/>
          <w:sz w:val="24"/>
          <w:szCs w:val="24"/>
          <w:u w:val="single"/>
        </w:rPr>
      </w:pPr>
    </w:p>
    <w:p w14:paraId="1313BDDD" w14:textId="77777777" w:rsidR="00D71866" w:rsidRDefault="00D71866" w:rsidP="001E592A">
      <w:pPr>
        <w:suppressAutoHyphens/>
        <w:ind w:left="567" w:hanging="567"/>
        <w:rPr>
          <w:noProof/>
          <w:sz w:val="24"/>
          <w:szCs w:val="24"/>
          <w:u w:val="single"/>
        </w:rPr>
      </w:pPr>
    </w:p>
    <w:p w14:paraId="5BABD0AB" w14:textId="77777777" w:rsidR="00D71866" w:rsidRDefault="00D71866" w:rsidP="001E592A">
      <w:pPr>
        <w:suppressAutoHyphens/>
        <w:ind w:left="567" w:hanging="567"/>
        <w:rPr>
          <w:noProof/>
          <w:sz w:val="24"/>
          <w:szCs w:val="24"/>
          <w:u w:val="single"/>
        </w:rPr>
      </w:pPr>
    </w:p>
    <w:p w14:paraId="33E50E05" w14:textId="485C7454" w:rsidR="00D71866" w:rsidRDefault="00D71866" w:rsidP="001E592A">
      <w:pPr>
        <w:suppressAutoHyphens/>
        <w:ind w:left="567" w:hanging="567"/>
        <w:rPr>
          <w:noProof/>
          <w:sz w:val="24"/>
          <w:szCs w:val="24"/>
          <w:u w:val="single"/>
        </w:rPr>
      </w:pPr>
    </w:p>
    <w:p w14:paraId="1DE79CE6" w14:textId="597AE9FC" w:rsidR="00BD6B56" w:rsidRDefault="00BD6B56" w:rsidP="001E592A">
      <w:pPr>
        <w:suppressAutoHyphens/>
        <w:ind w:left="567" w:hanging="567"/>
        <w:rPr>
          <w:noProof/>
          <w:sz w:val="24"/>
          <w:szCs w:val="24"/>
          <w:u w:val="single"/>
        </w:rPr>
      </w:pPr>
    </w:p>
    <w:p w14:paraId="5B6F5EDB" w14:textId="77777777" w:rsidR="00BD6B56" w:rsidRDefault="00BD6B56" w:rsidP="001E592A">
      <w:pPr>
        <w:suppressAutoHyphens/>
        <w:ind w:left="567" w:hanging="567"/>
        <w:rPr>
          <w:sz w:val="24"/>
          <w:szCs w:val="24"/>
          <w:u w:val="single"/>
        </w:rPr>
      </w:pPr>
    </w:p>
    <w:p w14:paraId="3BA8C70E" w14:textId="357617A6" w:rsidR="001E592A" w:rsidRDefault="00CE7805" w:rsidP="001E592A">
      <w:pPr>
        <w:suppressAutoHyphens/>
        <w:ind w:left="567" w:hanging="567"/>
        <w:rPr>
          <w:noProof/>
          <w:sz w:val="24"/>
          <w:szCs w:val="24"/>
          <w:u w:val="single"/>
        </w:rPr>
      </w:pPr>
      <w:r>
        <w:rPr>
          <w:noProof/>
          <w:sz w:val="24"/>
          <w:szCs w:val="24"/>
          <w:u w:val="single"/>
        </w:rPr>
        <w:lastRenderedPageBreak/>
        <w:br/>
      </w:r>
      <w:r w:rsidR="00307783" w:rsidRPr="00EE32E5">
        <w:rPr>
          <w:noProof/>
          <w:sz w:val="24"/>
          <w:szCs w:val="24"/>
          <w:u w:val="single"/>
        </w:rPr>
        <w:t xml:space="preserve">Tableau </w:t>
      </w:r>
      <w:r w:rsidR="001521E8">
        <w:rPr>
          <w:noProof/>
          <w:sz w:val="24"/>
          <w:szCs w:val="24"/>
          <w:u w:val="single"/>
        </w:rPr>
        <w:t xml:space="preserve">1 </w:t>
      </w:r>
      <w:r w:rsidR="006549DE">
        <w:rPr>
          <w:noProof/>
          <w:sz w:val="24"/>
          <w:szCs w:val="24"/>
          <w:u w:val="single"/>
        </w:rPr>
        <w:t>-</w:t>
      </w:r>
      <w:r w:rsidR="001521E8">
        <w:rPr>
          <w:noProof/>
          <w:sz w:val="24"/>
          <w:szCs w:val="24"/>
          <w:u w:val="single"/>
        </w:rPr>
        <w:t xml:space="preserve"> Résumé de la posologie pour chaque indication pour les </w:t>
      </w:r>
      <w:r w:rsidR="001521E8" w:rsidRPr="00EE32E5">
        <w:rPr>
          <w:b/>
          <w:bCs/>
          <w:noProof/>
          <w:sz w:val="24"/>
          <w:szCs w:val="24"/>
          <w:u w:val="single"/>
        </w:rPr>
        <w:t>adultes</w:t>
      </w:r>
    </w:p>
    <w:p w14:paraId="65CFD47D" w14:textId="7117B1F9" w:rsidR="001521E8" w:rsidRDefault="001521E8" w:rsidP="001E592A">
      <w:pPr>
        <w:suppressAutoHyphens/>
        <w:ind w:left="567" w:hanging="567"/>
        <w:rPr>
          <w:noProof/>
          <w:sz w:val="24"/>
          <w:szCs w:val="24"/>
          <w:u w:val="single"/>
        </w:rPr>
      </w:pPr>
    </w:p>
    <w:tbl>
      <w:tblPr>
        <w:tblStyle w:val="Grilledutableau"/>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401"/>
        <w:gridCol w:w="3119"/>
      </w:tblGrid>
      <w:tr w:rsidR="001521E8" w:rsidRPr="001521E8" w14:paraId="401E0AC3" w14:textId="77777777" w:rsidTr="00EE32E5">
        <w:tc>
          <w:tcPr>
            <w:tcW w:w="2836" w:type="dxa"/>
            <w:tcBorders>
              <w:top w:val="single" w:sz="12" w:space="0" w:color="auto"/>
              <w:bottom w:val="single" w:sz="12" w:space="0" w:color="auto"/>
            </w:tcBorders>
          </w:tcPr>
          <w:p w14:paraId="1D32A197" w14:textId="35181BFA" w:rsidR="001521E8" w:rsidRPr="00EE32E5" w:rsidRDefault="001521E8" w:rsidP="001E592A">
            <w:pPr>
              <w:suppressAutoHyphens/>
              <w:rPr>
                <w:i/>
                <w:iCs/>
                <w:noProof/>
                <w:sz w:val="24"/>
                <w:szCs w:val="24"/>
                <w:u w:val="single"/>
              </w:rPr>
            </w:pPr>
            <w:r w:rsidRPr="00EE32E5">
              <w:rPr>
                <w:i/>
                <w:iCs/>
                <w:noProof/>
                <w:sz w:val="24"/>
                <w:szCs w:val="24"/>
                <w:u w:val="single"/>
              </w:rPr>
              <w:t>Indications</w:t>
            </w:r>
          </w:p>
        </w:tc>
        <w:tc>
          <w:tcPr>
            <w:tcW w:w="3401" w:type="dxa"/>
            <w:tcBorders>
              <w:top w:val="single" w:sz="12" w:space="0" w:color="auto"/>
              <w:bottom w:val="single" w:sz="12" w:space="0" w:color="auto"/>
            </w:tcBorders>
          </w:tcPr>
          <w:p w14:paraId="3A6DE1B4" w14:textId="6043E08F" w:rsidR="001521E8" w:rsidRPr="00EE32E5" w:rsidRDefault="001521E8" w:rsidP="001E592A">
            <w:pPr>
              <w:suppressAutoHyphens/>
              <w:rPr>
                <w:i/>
                <w:iCs/>
                <w:noProof/>
                <w:sz w:val="24"/>
                <w:szCs w:val="24"/>
                <w:u w:val="single"/>
              </w:rPr>
            </w:pPr>
            <w:r w:rsidRPr="00EE32E5">
              <w:rPr>
                <w:i/>
                <w:iCs/>
                <w:noProof/>
                <w:sz w:val="24"/>
                <w:szCs w:val="24"/>
                <w:u w:val="single"/>
              </w:rPr>
              <w:t xml:space="preserve">Nombre de comprimés </w:t>
            </w:r>
            <w:r>
              <w:rPr>
                <w:i/>
                <w:iCs/>
                <w:noProof/>
                <w:sz w:val="24"/>
                <w:szCs w:val="24"/>
                <w:u w:val="single"/>
              </w:rPr>
              <w:br/>
            </w:r>
            <w:r w:rsidRPr="00EE32E5">
              <w:rPr>
                <w:i/>
                <w:iCs/>
                <w:noProof/>
                <w:sz w:val="24"/>
                <w:szCs w:val="24"/>
                <w:u w:val="single"/>
              </w:rPr>
              <w:t>(en un seule prise avec un repas)</w:t>
            </w:r>
          </w:p>
        </w:tc>
        <w:tc>
          <w:tcPr>
            <w:tcW w:w="3119" w:type="dxa"/>
            <w:tcBorders>
              <w:top w:val="single" w:sz="12" w:space="0" w:color="auto"/>
              <w:bottom w:val="single" w:sz="12" w:space="0" w:color="auto"/>
            </w:tcBorders>
          </w:tcPr>
          <w:p w14:paraId="24788F4C" w14:textId="7DB62616" w:rsidR="001521E8" w:rsidRPr="00EE32E5" w:rsidRDefault="001521E8" w:rsidP="001E592A">
            <w:pPr>
              <w:suppressAutoHyphens/>
              <w:rPr>
                <w:i/>
                <w:iCs/>
                <w:noProof/>
                <w:sz w:val="24"/>
                <w:szCs w:val="24"/>
                <w:u w:val="single"/>
              </w:rPr>
            </w:pPr>
            <w:r w:rsidRPr="00EE32E5">
              <w:rPr>
                <w:i/>
                <w:iCs/>
                <w:noProof/>
                <w:sz w:val="24"/>
                <w:szCs w:val="24"/>
                <w:u w:val="single"/>
              </w:rPr>
              <w:t>Durée du traitement</w:t>
            </w:r>
          </w:p>
        </w:tc>
      </w:tr>
      <w:tr w:rsidR="001521E8" w:rsidRPr="001521E8" w14:paraId="109CB6D4" w14:textId="77777777" w:rsidTr="00EE32E5">
        <w:tc>
          <w:tcPr>
            <w:tcW w:w="2836" w:type="dxa"/>
            <w:tcBorders>
              <w:top w:val="single" w:sz="12" w:space="0" w:color="auto"/>
              <w:bottom w:val="single" w:sz="4" w:space="0" w:color="auto"/>
            </w:tcBorders>
          </w:tcPr>
          <w:p w14:paraId="2C6FC0F1" w14:textId="424540A6" w:rsidR="001521E8" w:rsidRPr="00EE32E5" w:rsidRDefault="001521E8" w:rsidP="001E592A">
            <w:pPr>
              <w:suppressAutoHyphens/>
              <w:rPr>
                <w:noProof/>
                <w:sz w:val="24"/>
                <w:szCs w:val="24"/>
              </w:rPr>
            </w:pPr>
            <w:r w:rsidRPr="00EE32E5">
              <w:rPr>
                <w:noProof/>
                <w:sz w:val="24"/>
                <w:szCs w:val="24"/>
              </w:rPr>
              <w:t>Trichomonase uro-génitale</w:t>
            </w:r>
            <w:r w:rsidRPr="00EE32E5">
              <w:rPr>
                <w:noProof/>
                <w:sz w:val="24"/>
                <w:szCs w:val="24"/>
              </w:rPr>
              <w:br/>
              <w:t>(homme et femme)</w:t>
            </w:r>
          </w:p>
        </w:tc>
        <w:tc>
          <w:tcPr>
            <w:tcW w:w="3401" w:type="dxa"/>
            <w:tcBorders>
              <w:top w:val="single" w:sz="12" w:space="0" w:color="auto"/>
              <w:bottom w:val="single" w:sz="4" w:space="0" w:color="auto"/>
            </w:tcBorders>
          </w:tcPr>
          <w:p w14:paraId="5649B717" w14:textId="12D31CB8" w:rsidR="001521E8" w:rsidRPr="00EE32E5" w:rsidRDefault="001521E8" w:rsidP="001E592A">
            <w:pPr>
              <w:suppressAutoHyphens/>
              <w:rPr>
                <w:noProof/>
                <w:sz w:val="24"/>
                <w:szCs w:val="24"/>
              </w:rPr>
            </w:pPr>
            <w:r w:rsidRPr="00EE32E5">
              <w:rPr>
                <w:noProof/>
                <w:sz w:val="24"/>
                <w:szCs w:val="24"/>
              </w:rPr>
              <w:t>4 comprimés à 500 mg</w:t>
            </w:r>
          </w:p>
        </w:tc>
        <w:tc>
          <w:tcPr>
            <w:tcW w:w="3119" w:type="dxa"/>
            <w:tcBorders>
              <w:top w:val="single" w:sz="12" w:space="0" w:color="auto"/>
              <w:bottom w:val="single" w:sz="4" w:space="0" w:color="auto"/>
            </w:tcBorders>
          </w:tcPr>
          <w:p w14:paraId="6501C984" w14:textId="64D4D5D4" w:rsidR="001521E8" w:rsidRPr="00EE32E5" w:rsidRDefault="001521E8" w:rsidP="001E592A">
            <w:pPr>
              <w:suppressAutoHyphens/>
              <w:rPr>
                <w:noProof/>
                <w:sz w:val="24"/>
                <w:szCs w:val="24"/>
              </w:rPr>
            </w:pPr>
            <w:r w:rsidRPr="00EE32E5">
              <w:rPr>
                <w:noProof/>
                <w:sz w:val="24"/>
                <w:szCs w:val="24"/>
              </w:rPr>
              <w:t>1 jour</w:t>
            </w:r>
          </w:p>
        </w:tc>
      </w:tr>
      <w:tr w:rsidR="001521E8" w:rsidRPr="001521E8" w14:paraId="63C2964D" w14:textId="77777777" w:rsidTr="00EE32E5">
        <w:tc>
          <w:tcPr>
            <w:tcW w:w="2836" w:type="dxa"/>
            <w:tcBorders>
              <w:top w:val="single" w:sz="4" w:space="0" w:color="auto"/>
              <w:bottom w:val="single" w:sz="4" w:space="0" w:color="auto"/>
            </w:tcBorders>
          </w:tcPr>
          <w:p w14:paraId="7D1AC941" w14:textId="2C0533BA" w:rsidR="001521E8" w:rsidRPr="00EE32E5" w:rsidRDefault="001521E8" w:rsidP="001521E8">
            <w:pPr>
              <w:suppressAutoHyphens/>
              <w:rPr>
                <w:noProof/>
                <w:sz w:val="24"/>
                <w:szCs w:val="24"/>
              </w:rPr>
            </w:pPr>
            <w:r w:rsidRPr="00EE32E5">
              <w:rPr>
                <w:noProof/>
                <w:sz w:val="24"/>
                <w:szCs w:val="24"/>
              </w:rPr>
              <w:t>Dysenterie amibienne aiguë</w:t>
            </w:r>
          </w:p>
        </w:tc>
        <w:tc>
          <w:tcPr>
            <w:tcW w:w="3401" w:type="dxa"/>
            <w:tcBorders>
              <w:top w:val="single" w:sz="4" w:space="0" w:color="auto"/>
              <w:bottom w:val="single" w:sz="4" w:space="0" w:color="auto"/>
            </w:tcBorders>
          </w:tcPr>
          <w:p w14:paraId="07A7B0B0" w14:textId="567BD33C" w:rsidR="001521E8" w:rsidRPr="00EE32E5" w:rsidRDefault="001521E8" w:rsidP="001521E8">
            <w:pPr>
              <w:suppressAutoHyphens/>
              <w:rPr>
                <w:noProof/>
                <w:sz w:val="24"/>
                <w:szCs w:val="24"/>
              </w:rPr>
            </w:pPr>
            <w:r w:rsidRPr="00EE32E5">
              <w:rPr>
                <w:noProof/>
                <w:sz w:val="24"/>
                <w:szCs w:val="24"/>
              </w:rPr>
              <w:t>4 comprimés à 500 mg</w:t>
            </w:r>
          </w:p>
        </w:tc>
        <w:tc>
          <w:tcPr>
            <w:tcW w:w="3119" w:type="dxa"/>
            <w:tcBorders>
              <w:top w:val="single" w:sz="4" w:space="0" w:color="auto"/>
              <w:bottom w:val="single" w:sz="4" w:space="0" w:color="auto"/>
            </w:tcBorders>
          </w:tcPr>
          <w:p w14:paraId="4731FCF8" w14:textId="74290458" w:rsidR="001521E8" w:rsidRPr="00EE32E5" w:rsidRDefault="001521E8" w:rsidP="001521E8">
            <w:pPr>
              <w:suppressAutoHyphens/>
              <w:rPr>
                <w:noProof/>
                <w:sz w:val="24"/>
                <w:szCs w:val="24"/>
              </w:rPr>
            </w:pPr>
            <w:r w:rsidRPr="00EE32E5">
              <w:rPr>
                <w:noProof/>
                <w:sz w:val="24"/>
                <w:szCs w:val="24"/>
              </w:rPr>
              <w:t xml:space="preserve">2 à 3 jours </w:t>
            </w:r>
            <w:r w:rsidR="00EE693F">
              <w:rPr>
                <w:noProof/>
                <w:sz w:val="24"/>
                <w:szCs w:val="24"/>
              </w:rPr>
              <w:br/>
            </w:r>
            <w:r w:rsidRPr="00EE32E5">
              <w:rPr>
                <w:noProof/>
                <w:sz w:val="24"/>
                <w:szCs w:val="24"/>
              </w:rPr>
              <w:t>(jusqu’à 6 jours si nécessaire)</w:t>
            </w:r>
          </w:p>
        </w:tc>
      </w:tr>
      <w:tr w:rsidR="001521E8" w:rsidRPr="001521E8" w14:paraId="73092D52" w14:textId="77777777" w:rsidTr="00EE32E5">
        <w:tc>
          <w:tcPr>
            <w:tcW w:w="2836" w:type="dxa"/>
            <w:tcBorders>
              <w:top w:val="single" w:sz="4" w:space="0" w:color="auto"/>
              <w:bottom w:val="single" w:sz="4" w:space="0" w:color="auto"/>
            </w:tcBorders>
          </w:tcPr>
          <w:p w14:paraId="2124EECB" w14:textId="5445D595" w:rsidR="001521E8" w:rsidRPr="00EE32E5" w:rsidRDefault="001521E8" w:rsidP="001521E8">
            <w:pPr>
              <w:suppressAutoHyphens/>
              <w:rPr>
                <w:noProof/>
                <w:sz w:val="24"/>
                <w:szCs w:val="24"/>
              </w:rPr>
            </w:pPr>
            <w:r w:rsidRPr="00EE32E5">
              <w:rPr>
                <w:noProof/>
                <w:sz w:val="24"/>
                <w:szCs w:val="24"/>
              </w:rPr>
              <w:t>Abcès hépatiques amibiens</w:t>
            </w:r>
          </w:p>
        </w:tc>
        <w:tc>
          <w:tcPr>
            <w:tcW w:w="3401" w:type="dxa"/>
            <w:tcBorders>
              <w:top w:val="single" w:sz="4" w:space="0" w:color="auto"/>
              <w:bottom w:val="single" w:sz="4" w:space="0" w:color="auto"/>
            </w:tcBorders>
          </w:tcPr>
          <w:p w14:paraId="20E9A482" w14:textId="4FE4BEBB" w:rsidR="001521E8" w:rsidRPr="00EE32E5" w:rsidRDefault="001521E8" w:rsidP="001521E8">
            <w:pPr>
              <w:suppressAutoHyphens/>
              <w:rPr>
                <w:noProof/>
                <w:sz w:val="24"/>
                <w:szCs w:val="24"/>
              </w:rPr>
            </w:pPr>
            <w:r w:rsidRPr="00EE32E5">
              <w:rPr>
                <w:noProof/>
                <w:sz w:val="24"/>
                <w:szCs w:val="24"/>
              </w:rPr>
              <w:t>3 à 4 comprimés à 500 mg</w:t>
            </w:r>
          </w:p>
        </w:tc>
        <w:tc>
          <w:tcPr>
            <w:tcW w:w="3119" w:type="dxa"/>
            <w:tcBorders>
              <w:top w:val="single" w:sz="4" w:space="0" w:color="auto"/>
              <w:bottom w:val="single" w:sz="4" w:space="0" w:color="auto"/>
            </w:tcBorders>
          </w:tcPr>
          <w:p w14:paraId="3E58E2FF" w14:textId="66950DE4" w:rsidR="001521E8" w:rsidRPr="00EE32E5" w:rsidRDefault="001521E8" w:rsidP="001521E8">
            <w:pPr>
              <w:suppressAutoHyphens/>
              <w:rPr>
                <w:noProof/>
                <w:sz w:val="24"/>
                <w:szCs w:val="24"/>
              </w:rPr>
            </w:pPr>
            <w:r w:rsidRPr="00EE32E5">
              <w:rPr>
                <w:noProof/>
                <w:sz w:val="24"/>
                <w:szCs w:val="24"/>
              </w:rPr>
              <w:t>3 à 6 jours</w:t>
            </w:r>
          </w:p>
        </w:tc>
      </w:tr>
      <w:tr w:rsidR="001521E8" w:rsidRPr="001521E8" w14:paraId="7AEA0331" w14:textId="77777777" w:rsidTr="00EE32E5">
        <w:tc>
          <w:tcPr>
            <w:tcW w:w="2836" w:type="dxa"/>
            <w:tcBorders>
              <w:top w:val="single" w:sz="4" w:space="0" w:color="auto"/>
              <w:bottom w:val="single" w:sz="4" w:space="0" w:color="auto"/>
            </w:tcBorders>
          </w:tcPr>
          <w:p w14:paraId="6CBD5902" w14:textId="415B3670" w:rsidR="001521E8" w:rsidRPr="00EE32E5" w:rsidRDefault="001521E8" w:rsidP="001521E8">
            <w:pPr>
              <w:suppressAutoHyphens/>
              <w:rPr>
                <w:noProof/>
                <w:sz w:val="24"/>
                <w:szCs w:val="24"/>
              </w:rPr>
            </w:pPr>
            <w:r w:rsidRPr="00EE32E5">
              <w:rPr>
                <w:noProof/>
                <w:sz w:val="24"/>
                <w:szCs w:val="24"/>
              </w:rPr>
              <w:t>Giardiase</w:t>
            </w:r>
          </w:p>
        </w:tc>
        <w:tc>
          <w:tcPr>
            <w:tcW w:w="3401" w:type="dxa"/>
            <w:tcBorders>
              <w:top w:val="single" w:sz="4" w:space="0" w:color="auto"/>
              <w:bottom w:val="single" w:sz="4" w:space="0" w:color="auto"/>
            </w:tcBorders>
          </w:tcPr>
          <w:p w14:paraId="370C8B9A" w14:textId="704FCC88" w:rsidR="001521E8" w:rsidRPr="00EE32E5" w:rsidRDefault="001521E8" w:rsidP="001521E8">
            <w:pPr>
              <w:suppressAutoHyphens/>
              <w:rPr>
                <w:noProof/>
                <w:sz w:val="24"/>
                <w:szCs w:val="24"/>
              </w:rPr>
            </w:pPr>
            <w:r w:rsidRPr="00EE32E5">
              <w:rPr>
                <w:noProof/>
                <w:sz w:val="24"/>
                <w:szCs w:val="24"/>
              </w:rPr>
              <w:t>4 comprimés à 500 mg</w:t>
            </w:r>
          </w:p>
        </w:tc>
        <w:tc>
          <w:tcPr>
            <w:tcW w:w="3119" w:type="dxa"/>
            <w:tcBorders>
              <w:top w:val="single" w:sz="4" w:space="0" w:color="auto"/>
              <w:bottom w:val="single" w:sz="4" w:space="0" w:color="auto"/>
            </w:tcBorders>
          </w:tcPr>
          <w:p w14:paraId="77545FBE" w14:textId="4729CE9A" w:rsidR="001521E8" w:rsidRPr="00EE32E5" w:rsidRDefault="001521E8" w:rsidP="001521E8">
            <w:pPr>
              <w:suppressAutoHyphens/>
              <w:rPr>
                <w:noProof/>
                <w:sz w:val="24"/>
                <w:szCs w:val="24"/>
              </w:rPr>
            </w:pPr>
            <w:r w:rsidRPr="00EE32E5">
              <w:rPr>
                <w:noProof/>
                <w:sz w:val="24"/>
                <w:szCs w:val="24"/>
              </w:rPr>
              <w:t>1 jour</w:t>
            </w:r>
          </w:p>
        </w:tc>
      </w:tr>
      <w:tr w:rsidR="001521E8" w:rsidRPr="001521E8" w14:paraId="2C7F453E" w14:textId="77777777" w:rsidTr="00EE32E5">
        <w:tc>
          <w:tcPr>
            <w:tcW w:w="2836" w:type="dxa"/>
            <w:tcBorders>
              <w:top w:val="single" w:sz="4" w:space="0" w:color="auto"/>
              <w:bottom w:val="single" w:sz="4" w:space="0" w:color="auto"/>
            </w:tcBorders>
          </w:tcPr>
          <w:p w14:paraId="360D3962" w14:textId="3B2A69C6" w:rsidR="001521E8" w:rsidRPr="00EE32E5" w:rsidRDefault="001521E8" w:rsidP="001521E8">
            <w:pPr>
              <w:suppressAutoHyphens/>
              <w:rPr>
                <w:noProof/>
                <w:sz w:val="24"/>
                <w:szCs w:val="24"/>
              </w:rPr>
            </w:pPr>
            <w:r w:rsidRPr="00EE32E5">
              <w:rPr>
                <w:noProof/>
                <w:sz w:val="24"/>
                <w:szCs w:val="24"/>
              </w:rPr>
              <w:t>Vaginite non spécifique à Gardnerella</w:t>
            </w:r>
          </w:p>
        </w:tc>
        <w:tc>
          <w:tcPr>
            <w:tcW w:w="3401" w:type="dxa"/>
            <w:tcBorders>
              <w:top w:val="single" w:sz="4" w:space="0" w:color="auto"/>
              <w:bottom w:val="single" w:sz="4" w:space="0" w:color="auto"/>
            </w:tcBorders>
          </w:tcPr>
          <w:p w14:paraId="345F421D" w14:textId="4E2C4115" w:rsidR="001521E8" w:rsidRPr="00EE32E5" w:rsidRDefault="001521E8" w:rsidP="001521E8">
            <w:pPr>
              <w:suppressAutoHyphens/>
              <w:rPr>
                <w:noProof/>
                <w:sz w:val="24"/>
                <w:szCs w:val="24"/>
              </w:rPr>
            </w:pPr>
            <w:r w:rsidRPr="00EE32E5">
              <w:rPr>
                <w:noProof/>
                <w:sz w:val="24"/>
                <w:szCs w:val="24"/>
              </w:rPr>
              <w:t>4 comprimés à 500 mg</w:t>
            </w:r>
          </w:p>
        </w:tc>
        <w:tc>
          <w:tcPr>
            <w:tcW w:w="3119" w:type="dxa"/>
            <w:tcBorders>
              <w:top w:val="single" w:sz="4" w:space="0" w:color="auto"/>
              <w:bottom w:val="single" w:sz="4" w:space="0" w:color="auto"/>
            </w:tcBorders>
          </w:tcPr>
          <w:p w14:paraId="45782063" w14:textId="0DE232FB" w:rsidR="001521E8" w:rsidRPr="00EE32E5" w:rsidRDefault="001521E8" w:rsidP="001521E8">
            <w:pPr>
              <w:suppressAutoHyphens/>
              <w:rPr>
                <w:noProof/>
                <w:sz w:val="24"/>
                <w:szCs w:val="24"/>
              </w:rPr>
            </w:pPr>
            <w:r w:rsidRPr="00EE32E5">
              <w:rPr>
                <w:noProof/>
                <w:sz w:val="24"/>
                <w:szCs w:val="24"/>
              </w:rPr>
              <w:t>1 à 2 jours</w:t>
            </w:r>
          </w:p>
        </w:tc>
      </w:tr>
      <w:tr w:rsidR="001521E8" w:rsidRPr="001521E8" w14:paraId="6FCE9BB7" w14:textId="77777777" w:rsidTr="00EE32E5">
        <w:tc>
          <w:tcPr>
            <w:tcW w:w="2836" w:type="dxa"/>
            <w:tcBorders>
              <w:top w:val="single" w:sz="4" w:space="0" w:color="auto"/>
              <w:bottom w:val="single" w:sz="4" w:space="0" w:color="auto"/>
            </w:tcBorders>
          </w:tcPr>
          <w:p w14:paraId="7363E4E1" w14:textId="667F0F79" w:rsidR="001521E8" w:rsidRPr="00EE32E5" w:rsidRDefault="001521E8" w:rsidP="001521E8">
            <w:pPr>
              <w:suppressAutoHyphens/>
              <w:rPr>
                <w:noProof/>
                <w:sz w:val="24"/>
                <w:szCs w:val="24"/>
              </w:rPr>
            </w:pPr>
            <w:r w:rsidRPr="00EE32E5">
              <w:rPr>
                <w:noProof/>
                <w:sz w:val="24"/>
                <w:szCs w:val="24"/>
              </w:rPr>
              <w:t>Infections anaérobies</w:t>
            </w:r>
          </w:p>
        </w:tc>
        <w:tc>
          <w:tcPr>
            <w:tcW w:w="3401" w:type="dxa"/>
            <w:tcBorders>
              <w:top w:val="single" w:sz="4" w:space="0" w:color="auto"/>
              <w:bottom w:val="single" w:sz="4" w:space="0" w:color="auto"/>
            </w:tcBorders>
          </w:tcPr>
          <w:p w14:paraId="5A508ABE" w14:textId="7757842F" w:rsidR="001521E8" w:rsidRPr="00EE32E5" w:rsidRDefault="001521E8" w:rsidP="001521E8">
            <w:pPr>
              <w:suppressAutoHyphens/>
              <w:rPr>
                <w:noProof/>
                <w:sz w:val="24"/>
                <w:szCs w:val="24"/>
              </w:rPr>
            </w:pPr>
            <w:r w:rsidRPr="00EE32E5">
              <w:rPr>
                <w:noProof/>
                <w:sz w:val="24"/>
                <w:szCs w:val="24"/>
              </w:rPr>
              <w:t>4 comprimés à 500 mg le premier jour suivis de 2 comprimés à 500 mg les 4 à 5 jours suivants</w:t>
            </w:r>
          </w:p>
        </w:tc>
        <w:tc>
          <w:tcPr>
            <w:tcW w:w="3119" w:type="dxa"/>
            <w:tcBorders>
              <w:top w:val="single" w:sz="4" w:space="0" w:color="auto"/>
              <w:bottom w:val="single" w:sz="4" w:space="0" w:color="auto"/>
            </w:tcBorders>
          </w:tcPr>
          <w:p w14:paraId="5EE7705D" w14:textId="10CB8EB9" w:rsidR="001521E8" w:rsidRPr="00EE32E5" w:rsidRDefault="001521E8" w:rsidP="001521E8">
            <w:pPr>
              <w:suppressAutoHyphens/>
              <w:rPr>
                <w:noProof/>
                <w:sz w:val="24"/>
                <w:szCs w:val="24"/>
              </w:rPr>
            </w:pPr>
            <w:r w:rsidRPr="00EE32E5">
              <w:rPr>
                <w:noProof/>
                <w:sz w:val="24"/>
                <w:szCs w:val="24"/>
              </w:rPr>
              <w:t>5 à 6 jours</w:t>
            </w:r>
          </w:p>
        </w:tc>
      </w:tr>
    </w:tbl>
    <w:p w14:paraId="3513933F" w14:textId="77777777" w:rsidR="001521E8" w:rsidRPr="00EE32E5" w:rsidRDefault="001521E8" w:rsidP="001E592A">
      <w:pPr>
        <w:suppressAutoHyphens/>
        <w:ind w:left="567" w:hanging="567"/>
        <w:rPr>
          <w:noProof/>
          <w:sz w:val="24"/>
          <w:szCs w:val="24"/>
          <w:u w:val="single"/>
        </w:rPr>
      </w:pPr>
    </w:p>
    <w:p w14:paraId="0A8B705C" w14:textId="398E702D" w:rsidR="00EE693F" w:rsidRPr="00EE32E5" w:rsidRDefault="00EE693F" w:rsidP="001E592A">
      <w:pPr>
        <w:rPr>
          <w:i/>
          <w:noProof/>
          <w:sz w:val="24"/>
          <w:szCs w:val="24"/>
        </w:rPr>
      </w:pPr>
      <w:r w:rsidRPr="00EE32E5">
        <w:rPr>
          <w:i/>
          <w:noProof/>
          <w:sz w:val="24"/>
          <w:szCs w:val="24"/>
          <w:u w:val="single"/>
        </w:rPr>
        <w:t>Population pédiatrique</w:t>
      </w:r>
    </w:p>
    <w:p w14:paraId="7860806A" w14:textId="7E9FBAAA" w:rsidR="00534002" w:rsidRPr="00EE32E5" w:rsidRDefault="00EE693F" w:rsidP="00EE32E5">
      <w:pPr>
        <w:ind w:right="-425"/>
        <w:jc w:val="both"/>
        <w:rPr>
          <w:noProof/>
          <w:sz w:val="24"/>
          <w:szCs w:val="24"/>
        </w:rPr>
      </w:pPr>
      <w:r>
        <w:rPr>
          <w:noProof/>
          <w:sz w:val="24"/>
          <w:szCs w:val="24"/>
        </w:rPr>
        <w:t>La posologie maximale chez les adultes ne doit pas être dépasée chez les enfants.</w:t>
      </w:r>
      <w:r>
        <w:rPr>
          <w:noProof/>
          <w:sz w:val="24"/>
          <w:szCs w:val="24"/>
        </w:rPr>
        <w:br/>
      </w:r>
      <w:r w:rsidR="00534002" w:rsidRPr="00EE32E5">
        <w:rPr>
          <w:noProof/>
          <w:sz w:val="24"/>
          <w:szCs w:val="24"/>
        </w:rPr>
        <w:t>Des</w:t>
      </w:r>
      <w:r w:rsidR="008C4475" w:rsidRPr="00EE32E5">
        <w:rPr>
          <w:noProof/>
          <w:sz w:val="24"/>
          <w:szCs w:val="24"/>
        </w:rPr>
        <w:t xml:space="preserve"> recommendation</w:t>
      </w:r>
      <w:r w:rsidR="00534002" w:rsidRPr="00EE32E5">
        <w:rPr>
          <w:noProof/>
          <w:sz w:val="24"/>
          <w:szCs w:val="24"/>
        </w:rPr>
        <w:t>s</w:t>
      </w:r>
      <w:r w:rsidR="008C4475" w:rsidRPr="00EE32E5">
        <w:rPr>
          <w:noProof/>
          <w:sz w:val="24"/>
          <w:szCs w:val="24"/>
        </w:rPr>
        <w:t xml:space="preserve"> </w:t>
      </w:r>
      <w:r w:rsidR="00534002" w:rsidRPr="00EE32E5">
        <w:rPr>
          <w:noProof/>
          <w:sz w:val="24"/>
          <w:szCs w:val="24"/>
        </w:rPr>
        <w:t>posologiques chez l’enfant de moins de 12 ans ne peuvent être proposées étant donné l’absence de renseignements cliniques quant à l’utilisation du tinidazole pour le traitement ou la prévention des infections an</w:t>
      </w:r>
      <w:r w:rsidR="004970DE" w:rsidRPr="00EE32E5">
        <w:rPr>
          <w:noProof/>
          <w:sz w:val="24"/>
          <w:szCs w:val="24"/>
        </w:rPr>
        <w:t>a</w:t>
      </w:r>
      <w:r w:rsidR="00534002" w:rsidRPr="00EE32E5">
        <w:rPr>
          <w:noProof/>
          <w:sz w:val="24"/>
          <w:szCs w:val="24"/>
        </w:rPr>
        <w:t>éorobies dans cette catégorie d’âge.</w:t>
      </w:r>
    </w:p>
    <w:p w14:paraId="292B681B" w14:textId="284F8B2E" w:rsidR="00534002" w:rsidRDefault="00534002" w:rsidP="001E592A">
      <w:pPr>
        <w:rPr>
          <w:noProof/>
          <w:sz w:val="24"/>
          <w:szCs w:val="24"/>
        </w:rPr>
      </w:pPr>
    </w:p>
    <w:p w14:paraId="0E9B2534" w14:textId="6E8A075F" w:rsidR="00EE693F" w:rsidRDefault="00EE693F" w:rsidP="00EE32E5">
      <w:pPr>
        <w:ind w:right="-709"/>
        <w:rPr>
          <w:b/>
          <w:bCs/>
          <w:noProof/>
          <w:sz w:val="24"/>
          <w:szCs w:val="24"/>
          <w:u w:val="single"/>
        </w:rPr>
      </w:pPr>
      <w:r w:rsidRPr="00367FFC">
        <w:rPr>
          <w:noProof/>
          <w:sz w:val="24"/>
          <w:szCs w:val="24"/>
          <w:u w:val="single"/>
        </w:rPr>
        <w:t xml:space="preserve">Tableau </w:t>
      </w:r>
      <w:r>
        <w:rPr>
          <w:noProof/>
          <w:sz w:val="24"/>
          <w:szCs w:val="24"/>
          <w:u w:val="single"/>
        </w:rPr>
        <w:t xml:space="preserve">2  </w:t>
      </w:r>
      <w:r w:rsidR="006549DE">
        <w:rPr>
          <w:noProof/>
          <w:sz w:val="24"/>
          <w:szCs w:val="24"/>
          <w:u w:val="single"/>
        </w:rPr>
        <w:t xml:space="preserve">- </w:t>
      </w:r>
      <w:r>
        <w:rPr>
          <w:noProof/>
          <w:sz w:val="24"/>
          <w:szCs w:val="24"/>
          <w:u w:val="single"/>
        </w:rPr>
        <w:t xml:space="preserve">Résumé de la posologie pour chaque indication pour les </w:t>
      </w:r>
      <w:r>
        <w:rPr>
          <w:b/>
          <w:bCs/>
          <w:noProof/>
          <w:sz w:val="24"/>
          <w:szCs w:val="24"/>
          <w:u w:val="single"/>
        </w:rPr>
        <w:t>enfant</w:t>
      </w:r>
      <w:r w:rsidRPr="00367FFC">
        <w:rPr>
          <w:b/>
          <w:bCs/>
          <w:noProof/>
          <w:sz w:val="24"/>
          <w:szCs w:val="24"/>
          <w:u w:val="single"/>
        </w:rPr>
        <w:t>s</w:t>
      </w:r>
      <w:r>
        <w:rPr>
          <w:b/>
          <w:bCs/>
          <w:noProof/>
          <w:sz w:val="24"/>
          <w:szCs w:val="24"/>
          <w:u w:val="single"/>
        </w:rPr>
        <w:t xml:space="preserve"> de plus de 12 ans</w:t>
      </w:r>
    </w:p>
    <w:tbl>
      <w:tblPr>
        <w:tblStyle w:val="Grilledutableau"/>
        <w:tblW w:w="103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402"/>
        <w:gridCol w:w="3833"/>
      </w:tblGrid>
      <w:tr w:rsidR="006F0053" w:rsidRPr="00367FFC" w14:paraId="1A50CDF8" w14:textId="77777777" w:rsidTr="00EE32E5">
        <w:tc>
          <w:tcPr>
            <w:tcW w:w="3124" w:type="dxa"/>
            <w:tcBorders>
              <w:top w:val="single" w:sz="8" w:space="0" w:color="auto"/>
              <w:bottom w:val="single" w:sz="12" w:space="0" w:color="auto"/>
            </w:tcBorders>
          </w:tcPr>
          <w:p w14:paraId="496B9B30" w14:textId="77777777" w:rsidR="006F0053" w:rsidRPr="00367FFC" w:rsidRDefault="006F0053" w:rsidP="00EE32E5">
            <w:pPr>
              <w:suppressAutoHyphens/>
              <w:ind w:right="-709"/>
              <w:rPr>
                <w:i/>
                <w:iCs/>
                <w:noProof/>
                <w:sz w:val="24"/>
                <w:szCs w:val="24"/>
                <w:u w:val="single"/>
              </w:rPr>
            </w:pPr>
            <w:r w:rsidRPr="00367FFC">
              <w:rPr>
                <w:i/>
                <w:iCs/>
                <w:noProof/>
                <w:sz w:val="24"/>
                <w:szCs w:val="24"/>
                <w:u w:val="single"/>
              </w:rPr>
              <w:t>Indications</w:t>
            </w:r>
          </w:p>
        </w:tc>
        <w:tc>
          <w:tcPr>
            <w:tcW w:w="3402" w:type="dxa"/>
            <w:tcBorders>
              <w:top w:val="single" w:sz="8" w:space="0" w:color="auto"/>
              <w:bottom w:val="single" w:sz="12" w:space="0" w:color="auto"/>
            </w:tcBorders>
          </w:tcPr>
          <w:p w14:paraId="402D5F86" w14:textId="52F44763" w:rsidR="006F0053" w:rsidRPr="00367FFC" w:rsidRDefault="006F0053" w:rsidP="00EE32E5">
            <w:pPr>
              <w:suppressAutoHyphens/>
              <w:ind w:right="-709"/>
              <w:rPr>
                <w:i/>
                <w:iCs/>
                <w:noProof/>
                <w:sz w:val="24"/>
                <w:szCs w:val="24"/>
                <w:u w:val="single"/>
              </w:rPr>
            </w:pPr>
            <w:r>
              <w:rPr>
                <w:i/>
                <w:iCs/>
                <w:noProof/>
                <w:sz w:val="24"/>
                <w:szCs w:val="24"/>
                <w:u w:val="single"/>
              </w:rPr>
              <w:t>mg/kg/jour</w:t>
            </w:r>
            <w:r w:rsidRPr="00367FFC">
              <w:rPr>
                <w:i/>
                <w:iCs/>
                <w:noProof/>
                <w:sz w:val="24"/>
                <w:szCs w:val="24"/>
                <w:u w:val="single"/>
              </w:rPr>
              <w:t xml:space="preserve"> </w:t>
            </w:r>
            <w:r>
              <w:rPr>
                <w:i/>
                <w:iCs/>
                <w:noProof/>
                <w:sz w:val="24"/>
                <w:szCs w:val="24"/>
                <w:u w:val="single"/>
              </w:rPr>
              <w:br/>
            </w:r>
            <w:r w:rsidRPr="00367FFC">
              <w:rPr>
                <w:i/>
                <w:iCs/>
                <w:noProof/>
                <w:sz w:val="24"/>
                <w:szCs w:val="24"/>
                <w:u w:val="single"/>
              </w:rPr>
              <w:t>(en un seule prise avec un repas</w:t>
            </w:r>
            <w:r w:rsidRPr="00EE32E5">
              <w:rPr>
                <w:i/>
                <w:iCs/>
                <w:noProof/>
                <w:sz w:val="24"/>
                <w:szCs w:val="24"/>
              </w:rPr>
              <w:t>)</w:t>
            </w:r>
          </w:p>
        </w:tc>
        <w:tc>
          <w:tcPr>
            <w:tcW w:w="3833" w:type="dxa"/>
            <w:tcBorders>
              <w:top w:val="single" w:sz="8" w:space="0" w:color="auto"/>
              <w:bottom w:val="single" w:sz="12" w:space="0" w:color="auto"/>
            </w:tcBorders>
          </w:tcPr>
          <w:p w14:paraId="27B65E6A" w14:textId="77777777" w:rsidR="006F0053" w:rsidRPr="00367FFC" w:rsidRDefault="006F0053" w:rsidP="00EE32E5">
            <w:pPr>
              <w:suppressAutoHyphens/>
              <w:ind w:right="-709"/>
              <w:rPr>
                <w:i/>
                <w:iCs/>
                <w:noProof/>
                <w:sz w:val="24"/>
                <w:szCs w:val="24"/>
                <w:u w:val="single"/>
              </w:rPr>
            </w:pPr>
            <w:r w:rsidRPr="00367FFC">
              <w:rPr>
                <w:i/>
                <w:iCs/>
                <w:noProof/>
                <w:sz w:val="24"/>
                <w:szCs w:val="24"/>
                <w:u w:val="single"/>
              </w:rPr>
              <w:t>Durée du traitement</w:t>
            </w:r>
          </w:p>
        </w:tc>
      </w:tr>
      <w:tr w:rsidR="006F0053" w:rsidRPr="00367FFC" w14:paraId="6C2A13FD" w14:textId="77777777" w:rsidTr="00EE32E5">
        <w:tc>
          <w:tcPr>
            <w:tcW w:w="3124" w:type="dxa"/>
            <w:tcBorders>
              <w:top w:val="single" w:sz="12" w:space="0" w:color="auto"/>
              <w:bottom w:val="single" w:sz="4" w:space="0" w:color="auto"/>
            </w:tcBorders>
          </w:tcPr>
          <w:p w14:paraId="28FA652F" w14:textId="7C81FFAB" w:rsidR="006F0053" w:rsidRPr="00367FFC" w:rsidRDefault="006F0053" w:rsidP="00EE32E5">
            <w:pPr>
              <w:suppressAutoHyphens/>
              <w:ind w:right="-709"/>
              <w:rPr>
                <w:noProof/>
                <w:sz w:val="24"/>
                <w:szCs w:val="24"/>
              </w:rPr>
            </w:pPr>
            <w:r w:rsidRPr="00367FFC">
              <w:rPr>
                <w:noProof/>
                <w:sz w:val="24"/>
                <w:szCs w:val="24"/>
              </w:rPr>
              <w:t>Trichomonase uro-génitale</w:t>
            </w:r>
          </w:p>
        </w:tc>
        <w:tc>
          <w:tcPr>
            <w:tcW w:w="3402" w:type="dxa"/>
            <w:tcBorders>
              <w:top w:val="single" w:sz="12" w:space="0" w:color="auto"/>
              <w:bottom w:val="single" w:sz="4" w:space="0" w:color="auto"/>
            </w:tcBorders>
          </w:tcPr>
          <w:p w14:paraId="2908777E" w14:textId="7CAD19ED" w:rsidR="006F0053" w:rsidRPr="00367FFC" w:rsidRDefault="006F0053" w:rsidP="00EE32E5">
            <w:pPr>
              <w:suppressAutoHyphens/>
              <w:ind w:right="-709"/>
              <w:rPr>
                <w:noProof/>
                <w:sz w:val="24"/>
                <w:szCs w:val="24"/>
              </w:rPr>
            </w:pPr>
            <w:r>
              <w:rPr>
                <w:noProof/>
                <w:sz w:val="24"/>
                <w:szCs w:val="24"/>
              </w:rPr>
              <w:t>50 à 75 mg/kg</w:t>
            </w:r>
          </w:p>
        </w:tc>
        <w:tc>
          <w:tcPr>
            <w:tcW w:w="3833" w:type="dxa"/>
            <w:tcBorders>
              <w:top w:val="single" w:sz="12" w:space="0" w:color="auto"/>
              <w:bottom w:val="single" w:sz="4" w:space="0" w:color="auto"/>
            </w:tcBorders>
          </w:tcPr>
          <w:p w14:paraId="44DCF830" w14:textId="72DD095B" w:rsidR="006F0053" w:rsidRPr="00367FFC" w:rsidRDefault="006F0053" w:rsidP="00EE32E5">
            <w:pPr>
              <w:suppressAutoHyphens/>
              <w:ind w:right="-709"/>
              <w:rPr>
                <w:noProof/>
                <w:sz w:val="24"/>
                <w:szCs w:val="24"/>
              </w:rPr>
            </w:pPr>
            <w:r w:rsidRPr="00367FFC">
              <w:rPr>
                <w:noProof/>
                <w:sz w:val="24"/>
                <w:szCs w:val="24"/>
              </w:rPr>
              <w:t>1 jour</w:t>
            </w:r>
            <w:r>
              <w:rPr>
                <w:noProof/>
                <w:sz w:val="24"/>
                <w:szCs w:val="24"/>
              </w:rPr>
              <w:t xml:space="preserve"> (à répéter 1x si nécessaire)</w:t>
            </w:r>
          </w:p>
        </w:tc>
      </w:tr>
      <w:tr w:rsidR="006F0053" w:rsidRPr="00367FFC" w14:paraId="2BADE12C" w14:textId="77777777" w:rsidTr="00EE32E5">
        <w:tc>
          <w:tcPr>
            <w:tcW w:w="3124" w:type="dxa"/>
            <w:tcBorders>
              <w:top w:val="single" w:sz="4" w:space="0" w:color="auto"/>
              <w:bottom w:val="single" w:sz="4" w:space="0" w:color="auto"/>
            </w:tcBorders>
          </w:tcPr>
          <w:p w14:paraId="254DC6D9" w14:textId="77777777" w:rsidR="006F0053" w:rsidRPr="00367FFC" w:rsidRDefault="006F0053" w:rsidP="00EE32E5">
            <w:pPr>
              <w:suppressAutoHyphens/>
              <w:ind w:right="-709"/>
              <w:rPr>
                <w:noProof/>
                <w:sz w:val="24"/>
                <w:szCs w:val="24"/>
              </w:rPr>
            </w:pPr>
            <w:r w:rsidRPr="00367FFC">
              <w:rPr>
                <w:noProof/>
                <w:sz w:val="24"/>
                <w:szCs w:val="24"/>
              </w:rPr>
              <w:t>Dysenterie amibienne aiguë</w:t>
            </w:r>
          </w:p>
        </w:tc>
        <w:tc>
          <w:tcPr>
            <w:tcW w:w="3402" w:type="dxa"/>
            <w:tcBorders>
              <w:top w:val="single" w:sz="4" w:space="0" w:color="auto"/>
              <w:bottom w:val="single" w:sz="4" w:space="0" w:color="auto"/>
            </w:tcBorders>
          </w:tcPr>
          <w:p w14:paraId="33D24913" w14:textId="7E48BE3B" w:rsidR="006F0053" w:rsidRPr="00367FFC" w:rsidRDefault="006F0053" w:rsidP="00EE32E5">
            <w:pPr>
              <w:suppressAutoHyphens/>
              <w:ind w:right="-709"/>
              <w:rPr>
                <w:noProof/>
                <w:sz w:val="24"/>
                <w:szCs w:val="24"/>
              </w:rPr>
            </w:pPr>
            <w:r>
              <w:rPr>
                <w:noProof/>
                <w:sz w:val="24"/>
                <w:szCs w:val="24"/>
              </w:rPr>
              <w:t>50 à 60 mg/kg</w:t>
            </w:r>
          </w:p>
        </w:tc>
        <w:tc>
          <w:tcPr>
            <w:tcW w:w="3833" w:type="dxa"/>
            <w:tcBorders>
              <w:top w:val="single" w:sz="4" w:space="0" w:color="auto"/>
              <w:bottom w:val="single" w:sz="4" w:space="0" w:color="auto"/>
            </w:tcBorders>
          </w:tcPr>
          <w:p w14:paraId="254A3A5E" w14:textId="3F3F3B5B" w:rsidR="006F0053" w:rsidRPr="00367FFC" w:rsidRDefault="006F0053" w:rsidP="00EE32E5">
            <w:pPr>
              <w:suppressAutoHyphens/>
              <w:ind w:right="-709"/>
              <w:rPr>
                <w:noProof/>
                <w:sz w:val="24"/>
                <w:szCs w:val="24"/>
              </w:rPr>
            </w:pPr>
            <w:r>
              <w:rPr>
                <w:noProof/>
                <w:sz w:val="24"/>
                <w:szCs w:val="24"/>
              </w:rPr>
              <w:t>3 jours</w:t>
            </w:r>
          </w:p>
        </w:tc>
      </w:tr>
      <w:tr w:rsidR="006F0053" w:rsidRPr="00367FFC" w14:paraId="6B203DA0" w14:textId="77777777" w:rsidTr="00EE32E5">
        <w:tc>
          <w:tcPr>
            <w:tcW w:w="3124" w:type="dxa"/>
            <w:tcBorders>
              <w:top w:val="single" w:sz="4" w:space="0" w:color="auto"/>
              <w:bottom w:val="single" w:sz="4" w:space="0" w:color="auto"/>
            </w:tcBorders>
          </w:tcPr>
          <w:p w14:paraId="48A4113A" w14:textId="77777777" w:rsidR="006F0053" w:rsidRPr="00367FFC" w:rsidRDefault="006F0053" w:rsidP="00EE32E5">
            <w:pPr>
              <w:suppressAutoHyphens/>
              <w:ind w:right="-709"/>
              <w:rPr>
                <w:noProof/>
                <w:sz w:val="24"/>
                <w:szCs w:val="24"/>
              </w:rPr>
            </w:pPr>
            <w:r w:rsidRPr="00367FFC">
              <w:rPr>
                <w:noProof/>
                <w:sz w:val="24"/>
                <w:szCs w:val="24"/>
              </w:rPr>
              <w:t>Abcès hépatiques amibiens</w:t>
            </w:r>
          </w:p>
        </w:tc>
        <w:tc>
          <w:tcPr>
            <w:tcW w:w="3402" w:type="dxa"/>
            <w:tcBorders>
              <w:top w:val="single" w:sz="4" w:space="0" w:color="auto"/>
              <w:bottom w:val="single" w:sz="4" w:space="0" w:color="auto"/>
            </w:tcBorders>
          </w:tcPr>
          <w:p w14:paraId="5935B968" w14:textId="3598935C" w:rsidR="006F0053" w:rsidRPr="00367FFC" w:rsidRDefault="006F0053" w:rsidP="00EE32E5">
            <w:pPr>
              <w:suppressAutoHyphens/>
              <w:ind w:right="-709"/>
              <w:rPr>
                <w:noProof/>
                <w:sz w:val="24"/>
                <w:szCs w:val="24"/>
              </w:rPr>
            </w:pPr>
            <w:r>
              <w:rPr>
                <w:noProof/>
                <w:sz w:val="24"/>
                <w:szCs w:val="24"/>
              </w:rPr>
              <w:t>50 à 60 mg/kg</w:t>
            </w:r>
          </w:p>
        </w:tc>
        <w:tc>
          <w:tcPr>
            <w:tcW w:w="3833" w:type="dxa"/>
            <w:tcBorders>
              <w:top w:val="single" w:sz="4" w:space="0" w:color="auto"/>
              <w:bottom w:val="single" w:sz="4" w:space="0" w:color="auto"/>
            </w:tcBorders>
          </w:tcPr>
          <w:p w14:paraId="7D16B4BA" w14:textId="3DD8339F" w:rsidR="006F0053" w:rsidRPr="00367FFC" w:rsidRDefault="006F0053" w:rsidP="00EE32E5">
            <w:pPr>
              <w:suppressAutoHyphens/>
              <w:ind w:right="-709"/>
              <w:rPr>
                <w:noProof/>
                <w:sz w:val="24"/>
                <w:szCs w:val="24"/>
              </w:rPr>
            </w:pPr>
            <w:r>
              <w:rPr>
                <w:noProof/>
                <w:sz w:val="24"/>
                <w:szCs w:val="24"/>
              </w:rPr>
              <w:t>5</w:t>
            </w:r>
            <w:r w:rsidRPr="00367FFC">
              <w:rPr>
                <w:noProof/>
                <w:sz w:val="24"/>
                <w:szCs w:val="24"/>
              </w:rPr>
              <w:t xml:space="preserve"> jours</w:t>
            </w:r>
          </w:p>
        </w:tc>
      </w:tr>
      <w:tr w:rsidR="006F0053" w:rsidRPr="00367FFC" w14:paraId="4EBE0B2E" w14:textId="77777777" w:rsidTr="00EE32E5">
        <w:tc>
          <w:tcPr>
            <w:tcW w:w="3124" w:type="dxa"/>
            <w:tcBorders>
              <w:top w:val="single" w:sz="4" w:space="0" w:color="auto"/>
              <w:bottom w:val="single" w:sz="4" w:space="0" w:color="auto"/>
            </w:tcBorders>
          </w:tcPr>
          <w:p w14:paraId="4EE91F48" w14:textId="77777777" w:rsidR="006F0053" w:rsidRPr="00367FFC" w:rsidRDefault="006F0053" w:rsidP="00EE32E5">
            <w:pPr>
              <w:suppressAutoHyphens/>
              <w:ind w:right="-709"/>
              <w:rPr>
                <w:noProof/>
                <w:sz w:val="24"/>
                <w:szCs w:val="24"/>
              </w:rPr>
            </w:pPr>
            <w:r w:rsidRPr="00367FFC">
              <w:rPr>
                <w:noProof/>
                <w:sz w:val="24"/>
                <w:szCs w:val="24"/>
              </w:rPr>
              <w:t>Giardiase</w:t>
            </w:r>
          </w:p>
        </w:tc>
        <w:tc>
          <w:tcPr>
            <w:tcW w:w="3402" w:type="dxa"/>
            <w:tcBorders>
              <w:top w:val="single" w:sz="4" w:space="0" w:color="auto"/>
              <w:bottom w:val="single" w:sz="4" w:space="0" w:color="auto"/>
            </w:tcBorders>
          </w:tcPr>
          <w:p w14:paraId="6061E63F" w14:textId="5FB18B7B" w:rsidR="006F0053" w:rsidRPr="00367FFC" w:rsidRDefault="006F0053" w:rsidP="00EE32E5">
            <w:pPr>
              <w:suppressAutoHyphens/>
              <w:ind w:right="-709"/>
              <w:rPr>
                <w:noProof/>
                <w:sz w:val="24"/>
                <w:szCs w:val="24"/>
              </w:rPr>
            </w:pPr>
            <w:r>
              <w:rPr>
                <w:noProof/>
                <w:sz w:val="24"/>
                <w:szCs w:val="24"/>
              </w:rPr>
              <w:t>50 à 75 mg/kg</w:t>
            </w:r>
          </w:p>
        </w:tc>
        <w:tc>
          <w:tcPr>
            <w:tcW w:w="3833" w:type="dxa"/>
            <w:tcBorders>
              <w:top w:val="single" w:sz="4" w:space="0" w:color="auto"/>
              <w:bottom w:val="single" w:sz="4" w:space="0" w:color="auto"/>
            </w:tcBorders>
          </w:tcPr>
          <w:p w14:paraId="26CAD79B" w14:textId="5879327F" w:rsidR="006F0053" w:rsidRPr="00367FFC" w:rsidRDefault="006F0053" w:rsidP="00EE32E5">
            <w:pPr>
              <w:suppressAutoHyphens/>
              <w:ind w:right="-709"/>
              <w:rPr>
                <w:noProof/>
                <w:sz w:val="24"/>
                <w:szCs w:val="24"/>
              </w:rPr>
            </w:pPr>
            <w:r w:rsidRPr="00367FFC">
              <w:rPr>
                <w:noProof/>
                <w:sz w:val="24"/>
                <w:szCs w:val="24"/>
              </w:rPr>
              <w:t>1 jour</w:t>
            </w:r>
            <w:r>
              <w:rPr>
                <w:noProof/>
                <w:sz w:val="24"/>
                <w:szCs w:val="24"/>
              </w:rPr>
              <w:t xml:space="preserve"> (à répéter 1x si nécessaire)</w:t>
            </w:r>
          </w:p>
        </w:tc>
      </w:tr>
    </w:tbl>
    <w:p w14:paraId="67306F47" w14:textId="4EA844D5" w:rsidR="006F0053" w:rsidRDefault="006F0053" w:rsidP="001E592A">
      <w:pPr>
        <w:rPr>
          <w:noProof/>
          <w:sz w:val="24"/>
          <w:szCs w:val="24"/>
        </w:rPr>
      </w:pPr>
    </w:p>
    <w:p w14:paraId="28657446" w14:textId="2546013D" w:rsidR="006F0053" w:rsidRPr="00EE32E5" w:rsidRDefault="006F0053" w:rsidP="001E592A">
      <w:pPr>
        <w:rPr>
          <w:noProof/>
          <w:sz w:val="24"/>
          <w:szCs w:val="24"/>
          <w:u w:val="single"/>
        </w:rPr>
      </w:pPr>
      <w:r w:rsidRPr="00EE32E5">
        <w:rPr>
          <w:noProof/>
          <w:sz w:val="24"/>
          <w:szCs w:val="24"/>
          <w:u w:val="single"/>
        </w:rPr>
        <w:t>Patient atteint d’insuffisance hépatique</w:t>
      </w:r>
    </w:p>
    <w:p w14:paraId="3C7A4710" w14:textId="21389573" w:rsidR="006F0053" w:rsidRDefault="006F0053" w:rsidP="00EE32E5">
      <w:pPr>
        <w:ind w:right="-425"/>
        <w:jc w:val="both"/>
        <w:rPr>
          <w:noProof/>
          <w:sz w:val="24"/>
          <w:szCs w:val="24"/>
        </w:rPr>
      </w:pPr>
      <w:r>
        <w:rPr>
          <w:noProof/>
          <w:sz w:val="24"/>
          <w:szCs w:val="24"/>
        </w:rPr>
        <w:t>Il n’y a aucune donnée clinique ou pharmacocinétique quant à l’utilisation du tinidazole chez les patients atteints d’insuffisance hépatique.  Il est connu qu’une quantité importante de la dose de tinidazole est éliminée par métabolisme hépatique.  En conséquence, la prudence est recommandée lors du traitement de patients atteints d’insuffisance hépatique, en particulier lorsque le médicament est administré pendant une plus longue période (</w:t>
      </w:r>
      <w:r>
        <w:rPr>
          <w:noProof/>
          <w:sz w:val="24"/>
          <w:szCs w:val="24"/>
        </w:rPr>
        <w:sym w:font="Symbol" w:char="F03E"/>
      </w:r>
      <w:r>
        <w:rPr>
          <w:noProof/>
          <w:sz w:val="24"/>
          <w:szCs w:val="24"/>
        </w:rPr>
        <w:t xml:space="preserve"> 5 jours).</w:t>
      </w:r>
    </w:p>
    <w:p w14:paraId="6EF7D485" w14:textId="77777777" w:rsidR="006F0053" w:rsidRPr="00EE32E5" w:rsidRDefault="006F0053" w:rsidP="00EE32E5">
      <w:pPr>
        <w:ind w:right="-425"/>
        <w:jc w:val="both"/>
        <w:rPr>
          <w:noProof/>
          <w:sz w:val="24"/>
          <w:szCs w:val="24"/>
        </w:rPr>
      </w:pPr>
    </w:p>
    <w:p w14:paraId="0145A88F" w14:textId="77777777" w:rsidR="00534002" w:rsidRPr="00EE32E5" w:rsidRDefault="00534002" w:rsidP="00EE32E5">
      <w:pPr>
        <w:ind w:right="-425"/>
        <w:jc w:val="both"/>
        <w:rPr>
          <w:iCs/>
          <w:noProof/>
          <w:sz w:val="24"/>
          <w:szCs w:val="24"/>
          <w:u w:val="single"/>
        </w:rPr>
      </w:pPr>
      <w:r w:rsidRPr="00EE32E5">
        <w:rPr>
          <w:iCs/>
          <w:noProof/>
          <w:sz w:val="24"/>
          <w:szCs w:val="24"/>
          <w:u w:val="single"/>
        </w:rPr>
        <w:t xml:space="preserve">Utilisation chez le patient insuffisant rénal </w:t>
      </w:r>
    </w:p>
    <w:p w14:paraId="686013C5" w14:textId="536A279F" w:rsidR="00534002" w:rsidRDefault="00534002" w:rsidP="00EE32E5">
      <w:pPr>
        <w:ind w:right="-425"/>
        <w:jc w:val="both"/>
        <w:rPr>
          <w:noProof/>
          <w:sz w:val="24"/>
          <w:szCs w:val="24"/>
        </w:rPr>
      </w:pPr>
      <w:r w:rsidRPr="00EE32E5">
        <w:rPr>
          <w:noProof/>
          <w:sz w:val="24"/>
          <w:szCs w:val="24"/>
        </w:rPr>
        <w:t>Il n’est généralement pas nécessaire d’</w:t>
      </w:r>
      <w:r w:rsidR="00E04F00" w:rsidRPr="00EE32E5">
        <w:rPr>
          <w:noProof/>
          <w:sz w:val="24"/>
          <w:szCs w:val="24"/>
        </w:rPr>
        <w:t>adapter l</w:t>
      </w:r>
      <w:r w:rsidRPr="00EE32E5">
        <w:rPr>
          <w:noProof/>
          <w:sz w:val="24"/>
          <w:szCs w:val="24"/>
        </w:rPr>
        <w:t>a</w:t>
      </w:r>
      <w:r w:rsidR="00E04F00" w:rsidRPr="00EE32E5">
        <w:rPr>
          <w:noProof/>
          <w:sz w:val="24"/>
          <w:szCs w:val="24"/>
        </w:rPr>
        <w:t xml:space="preserve"> </w:t>
      </w:r>
      <w:r w:rsidRPr="00EE32E5">
        <w:rPr>
          <w:noProof/>
          <w:sz w:val="24"/>
          <w:szCs w:val="24"/>
        </w:rPr>
        <w:t>posologie chez les patients dont la</w:t>
      </w:r>
      <w:r w:rsidR="004970DE" w:rsidRPr="00EE32E5">
        <w:rPr>
          <w:noProof/>
          <w:sz w:val="24"/>
          <w:szCs w:val="24"/>
        </w:rPr>
        <w:t xml:space="preserve"> </w:t>
      </w:r>
      <w:r w:rsidRPr="00EE32E5">
        <w:rPr>
          <w:noProof/>
          <w:sz w:val="24"/>
          <w:szCs w:val="24"/>
        </w:rPr>
        <w:t xml:space="preserve">fonction rénale est altérée. Cependant, parce que le tinidazole est facilement éliminé par hémodialyse, les patients peuvent avoir besoin de doses supplémentaires de tinidazole pour compenser cette élimination. </w:t>
      </w:r>
    </w:p>
    <w:p w14:paraId="2A7EEA6F" w14:textId="61F47ED6" w:rsidR="006F0053" w:rsidRDefault="006F0053" w:rsidP="00EE32E5">
      <w:pPr>
        <w:ind w:right="-567"/>
        <w:jc w:val="both"/>
        <w:rPr>
          <w:noProof/>
          <w:sz w:val="24"/>
          <w:szCs w:val="24"/>
        </w:rPr>
      </w:pPr>
    </w:p>
    <w:p w14:paraId="7BB2C1C3" w14:textId="7CD3ED96" w:rsidR="006F0053" w:rsidRPr="00EE32E5" w:rsidRDefault="006F0053" w:rsidP="00EE32E5">
      <w:pPr>
        <w:ind w:right="-567"/>
        <w:jc w:val="both"/>
        <w:rPr>
          <w:noProof/>
          <w:sz w:val="24"/>
          <w:szCs w:val="24"/>
          <w:u w:val="single"/>
        </w:rPr>
      </w:pPr>
      <w:r w:rsidRPr="00EE32E5">
        <w:rPr>
          <w:noProof/>
          <w:sz w:val="24"/>
          <w:szCs w:val="24"/>
          <w:u w:val="single"/>
        </w:rPr>
        <w:t>Mode d’administration</w:t>
      </w:r>
    </w:p>
    <w:p w14:paraId="48E351A5" w14:textId="367ABF88" w:rsidR="001E592A" w:rsidRDefault="006F0053" w:rsidP="00EE32E5">
      <w:pPr>
        <w:ind w:right="-567"/>
        <w:jc w:val="both"/>
        <w:rPr>
          <w:noProof/>
          <w:sz w:val="24"/>
          <w:szCs w:val="24"/>
        </w:rPr>
      </w:pPr>
      <w:r>
        <w:rPr>
          <w:noProof/>
          <w:sz w:val="24"/>
          <w:szCs w:val="24"/>
        </w:rPr>
        <w:t>Il est recommandé de prendre TINAZOL pendant ou après un repas.</w:t>
      </w:r>
    </w:p>
    <w:p w14:paraId="1E129D46" w14:textId="5A96F07E" w:rsidR="006F0053" w:rsidRDefault="006F0053" w:rsidP="00EE32E5">
      <w:pPr>
        <w:jc w:val="both"/>
        <w:rPr>
          <w:noProof/>
          <w:sz w:val="24"/>
          <w:szCs w:val="24"/>
        </w:rPr>
      </w:pPr>
      <w:r>
        <w:rPr>
          <w:noProof/>
          <w:sz w:val="24"/>
          <w:szCs w:val="24"/>
        </w:rPr>
        <w:t>L’absorption concomitante de boissons alcoolisées et de TINAZOL e</w:t>
      </w:r>
      <w:r w:rsidR="00BD6B56">
        <w:rPr>
          <w:noProof/>
          <w:sz w:val="24"/>
          <w:szCs w:val="24"/>
        </w:rPr>
        <w:t>s</w:t>
      </w:r>
      <w:r>
        <w:rPr>
          <w:noProof/>
          <w:sz w:val="24"/>
          <w:szCs w:val="24"/>
        </w:rPr>
        <w:t>t à éviter (voir rubrique 4.5)</w:t>
      </w:r>
    </w:p>
    <w:p w14:paraId="3954D86A" w14:textId="6B94F20E" w:rsidR="006F0053" w:rsidRDefault="006F0053" w:rsidP="001E592A">
      <w:pPr>
        <w:rPr>
          <w:noProof/>
          <w:sz w:val="24"/>
          <w:szCs w:val="24"/>
        </w:rPr>
      </w:pPr>
    </w:p>
    <w:p w14:paraId="4C16EC96" w14:textId="77777777" w:rsidR="00BD6B56" w:rsidRPr="00EE32E5" w:rsidRDefault="00BD6B56" w:rsidP="001E592A">
      <w:pPr>
        <w:rPr>
          <w:noProof/>
          <w:sz w:val="24"/>
          <w:szCs w:val="24"/>
        </w:rPr>
      </w:pPr>
    </w:p>
    <w:p w14:paraId="53C00D84" w14:textId="7C1BF603" w:rsidR="001E592A" w:rsidRDefault="001E592A" w:rsidP="002615F4">
      <w:pPr>
        <w:suppressAutoHyphens/>
        <w:ind w:left="567" w:hanging="567"/>
        <w:rPr>
          <w:b/>
          <w:noProof/>
          <w:sz w:val="24"/>
          <w:szCs w:val="24"/>
        </w:rPr>
      </w:pPr>
      <w:r w:rsidRPr="00EE32E5">
        <w:rPr>
          <w:b/>
          <w:noProof/>
          <w:sz w:val="24"/>
          <w:szCs w:val="24"/>
        </w:rPr>
        <w:lastRenderedPageBreak/>
        <w:t>4.3</w:t>
      </w:r>
      <w:r w:rsidRPr="00EE32E5">
        <w:rPr>
          <w:b/>
          <w:noProof/>
          <w:sz w:val="24"/>
          <w:szCs w:val="24"/>
        </w:rPr>
        <w:tab/>
        <w:t>Contre-indications</w:t>
      </w:r>
    </w:p>
    <w:p w14:paraId="57B9C800" w14:textId="77777777" w:rsidR="006F0053" w:rsidRPr="00EE32E5" w:rsidRDefault="006F0053" w:rsidP="002615F4">
      <w:pPr>
        <w:suppressAutoHyphens/>
        <w:ind w:left="567" w:hanging="567"/>
        <w:rPr>
          <w:b/>
          <w:noProof/>
          <w:sz w:val="24"/>
          <w:szCs w:val="24"/>
        </w:rPr>
      </w:pPr>
    </w:p>
    <w:p w14:paraId="5DE53608" w14:textId="7426B20A" w:rsidR="001E592A" w:rsidRDefault="00284102" w:rsidP="00284102">
      <w:pPr>
        <w:pStyle w:val="Paragraphedeliste"/>
        <w:numPr>
          <w:ilvl w:val="0"/>
          <w:numId w:val="10"/>
        </w:numPr>
        <w:suppressAutoHyphens/>
        <w:ind w:left="284" w:hanging="284"/>
        <w:rPr>
          <w:noProof/>
          <w:sz w:val="24"/>
          <w:szCs w:val="24"/>
        </w:rPr>
      </w:pPr>
      <w:r w:rsidRPr="00EE32E5">
        <w:rPr>
          <w:noProof/>
          <w:sz w:val="24"/>
          <w:szCs w:val="24"/>
        </w:rPr>
        <w:t>Hypersensibilité à la substance active</w:t>
      </w:r>
      <w:r w:rsidR="009037D6">
        <w:rPr>
          <w:noProof/>
          <w:sz w:val="24"/>
          <w:szCs w:val="24"/>
        </w:rPr>
        <w:t>, le</w:t>
      </w:r>
      <w:r w:rsidRPr="00EE32E5">
        <w:rPr>
          <w:noProof/>
          <w:sz w:val="24"/>
          <w:szCs w:val="24"/>
        </w:rPr>
        <w:t xml:space="preserve"> tinidazole, </w:t>
      </w:r>
      <w:r w:rsidR="009037D6">
        <w:rPr>
          <w:noProof/>
          <w:sz w:val="24"/>
          <w:szCs w:val="24"/>
        </w:rPr>
        <w:t xml:space="preserve">ou </w:t>
      </w:r>
      <w:r w:rsidRPr="00EE32E5">
        <w:rPr>
          <w:noProof/>
          <w:sz w:val="24"/>
          <w:szCs w:val="24"/>
        </w:rPr>
        <w:t>à d’autres dérivés 5-nitro-imidazolés, ou à l’un des excipients mentionnés à la rubrique 6.1.</w:t>
      </w:r>
    </w:p>
    <w:p w14:paraId="350E6504" w14:textId="61B99E6C" w:rsidR="00284102" w:rsidRDefault="00284102" w:rsidP="00284102">
      <w:pPr>
        <w:pStyle w:val="Paragraphedeliste"/>
        <w:numPr>
          <w:ilvl w:val="0"/>
          <w:numId w:val="10"/>
        </w:numPr>
        <w:suppressAutoHyphens/>
        <w:ind w:left="284" w:hanging="284"/>
        <w:rPr>
          <w:noProof/>
          <w:sz w:val="24"/>
          <w:szCs w:val="24"/>
        </w:rPr>
      </w:pPr>
      <w:r>
        <w:rPr>
          <w:noProof/>
          <w:sz w:val="24"/>
          <w:szCs w:val="24"/>
        </w:rPr>
        <w:t>Grossesse et allaitement : le tinidazole est contre-indiqué au cours du premier trimestre de la grossesse et chez la femme allaitante (voir rubrique 4.6).</w:t>
      </w:r>
    </w:p>
    <w:p w14:paraId="28FF7D3D" w14:textId="589234E4" w:rsidR="00284102" w:rsidRDefault="00284102" w:rsidP="00EE32E5">
      <w:pPr>
        <w:pStyle w:val="Paragraphedeliste"/>
        <w:numPr>
          <w:ilvl w:val="0"/>
          <w:numId w:val="10"/>
        </w:numPr>
        <w:suppressAutoHyphens/>
        <w:ind w:left="284" w:hanging="284"/>
        <w:jc w:val="both"/>
        <w:rPr>
          <w:noProof/>
          <w:sz w:val="24"/>
          <w:szCs w:val="24"/>
        </w:rPr>
      </w:pPr>
      <w:r>
        <w:rPr>
          <w:noProof/>
          <w:sz w:val="24"/>
          <w:szCs w:val="24"/>
        </w:rPr>
        <w:t>A l’égard d’autres substances de structure chimique voisine, TINAZOL est contre-indiqué chez les patients présentant ou ayant présenté de la dyscrasie sanguine, même si des altérations hématologiques persistantes n’ont pas été constatées à l’occasion des études cliniques ou en expérimentation toxicologique animale.</w:t>
      </w:r>
    </w:p>
    <w:p w14:paraId="7C03F673" w14:textId="70137DDE" w:rsidR="00284102" w:rsidRPr="00EE32E5" w:rsidRDefault="009037D6" w:rsidP="00EE32E5">
      <w:pPr>
        <w:pStyle w:val="Paragraphedeliste"/>
        <w:numPr>
          <w:ilvl w:val="0"/>
          <w:numId w:val="10"/>
        </w:numPr>
        <w:suppressAutoHyphens/>
        <w:ind w:left="284" w:hanging="284"/>
        <w:jc w:val="both"/>
        <w:rPr>
          <w:noProof/>
          <w:sz w:val="24"/>
          <w:szCs w:val="24"/>
        </w:rPr>
      </w:pPr>
      <w:r>
        <w:rPr>
          <w:noProof/>
          <w:sz w:val="24"/>
          <w:szCs w:val="24"/>
        </w:rPr>
        <w:t>TIN</w:t>
      </w:r>
      <w:r w:rsidR="00202653">
        <w:rPr>
          <w:noProof/>
          <w:sz w:val="24"/>
          <w:szCs w:val="24"/>
        </w:rPr>
        <w:t>AZOL</w:t>
      </w:r>
      <w:r w:rsidR="00284102">
        <w:rPr>
          <w:noProof/>
          <w:sz w:val="24"/>
          <w:szCs w:val="24"/>
        </w:rPr>
        <w:t xml:space="preserve"> est aussi contre-indiqué chez les patients présentant des troubles neurologiques organiques.</w:t>
      </w:r>
    </w:p>
    <w:p w14:paraId="30EA6FF3" w14:textId="77777777" w:rsidR="00284102" w:rsidRPr="00EE32E5" w:rsidRDefault="00284102" w:rsidP="001E592A">
      <w:pPr>
        <w:suppressAutoHyphens/>
        <w:rPr>
          <w:noProof/>
          <w:sz w:val="24"/>
          <w:szCs w:val="24"/>
        </w:rPr>
      </w:pPr>
    </w:p>
    <w:p w14:paraId="3D56CABD" w14:textId="6B0C4519" w:rsidR="001E592A" w:rsidRDefault="001E592A" w:rsidP="001E592A">
      <w:pPr>
        <w:suppressAutoHyphens/>
        <w:ind w:left="567" w:hanging="567"/>
        <w:rPr>
          <w:b/>
          <w:noProof/>
          <w:sz w:val="24"/>
          <w:szCs w:val="24"/>
        </w:rPr>
      </w:pPr>
      <w:r w:rsidRPr="00EE32E5">
        <w:rPr>
          <w:b/>
          <w:noProof/>
          <w:sz w:val="24"/>
          <w:szCs w:val="24"/>
        </w:rPr>
        <w:t>4.4</w:t>
      </w:r>
      <w:r w:rsidRPr="00EE32E5">
        <w:rPr>
          <w:b/>
          <w:noProof/>
          <w:sz w:val="24"/>
          <w:szCs w:val="24"/>
        </w:rPr>
        <w:tab/>
        <w:t>Mises en garde spéciales et précautions d’emploi</w:t>
      </w:r>
    </w:p>
    <w:p w14:paraId="50C3B5AF" w14:textId="77777777" w:rsidR="00284102" w:rsidRPr="00EE32E5" w:rsidRDefault="00284102" w:rsidP="001E592A">
      <w:pPr>
        <w:suppressAutoHyphens/>
        <w:ind w:left="567" w:hanging="567"/>
        <w:rPr>
          <w:b/>
          <w:noProof/>
          <w:sz w:val="24"/>
          <w:szCs w:val="24"/>
        </w:rPr>
      </w:pPr>
    </w:p>
    <w:p w14:paraId="0925AC1C" w14:textId="6528E76F" w:rsidR="00284102" w:rsidRDefault="00284102" w:rsidP="00EE32E5">
      <w:pPr>
        <w:jc w:val="both"/>
        <w:rPr>
          <w:sz w:val="24"/>
          <w:szCs w:val="24"/>
          <w:lang w:eastAsia="fr-BE"/>
        </w:rPr>
      </w:pPr>
      <w:r>
        <w:rPr>
          <w:sz w:val="24"/>
          <w:szCs w:val="24"/>
          <w:lang w:eastAsia="fr-BE"/>
        </w:rPr>
        <w:t xml:space="preserve">Une </w:t>
      </w:r>
      <w:proofErr w:type="spellStart"/>
      <w:r>
        <w:rPr>
          <w:sz w:val="24"/>
          <w:szCs w:val="24"/>
          <w:lang w:eastAsia="fr-BE"/>
        </w:rPr>
        <w:t>carcinogénicité</w:t>
      </w:r>
      <w:proofErr w:type="spellEnd"/>
      <w:r>
        <w:rPr>
          <w:sz w:val="24"/>
          <w:szCs w:val="24"/>
          <w:lang w:eastAsia="fr-BE"/>
        </w:rPr>
        <w:t xml:space="preserve"> a été constatée chez les souris et les rats traités de manière chronique au métronidazole, un a</w:t>
      </w:r>
      <w:r w:rsidR="006549DE">
        <w:rPr>
          <w:sz w:val="24"/>
          <w:szCs w:val="24"/>
          <w:lang w:eastAsia="fr-BE"/>
        </w:rPr>
        <w:t>u</w:t>
      </w:r>
      <w:r w:rsidR="00CF7BA1">
        <w:rPr>
          <w:sz w:val="24"/>
          <w:szCs w:val="24"/>
          <w:lang w:eastAsia="fr-BE"/>
        </w:rPr>
        <w:t xml:space="preserve">tre agent </w:t>
      </w:r>
      <w:proofErr w:type="spellStart"/>
      <w:r w:rsidR="00CF7BA1">
        <w:rPr>
          <w:sz w:val="24"/>
          <w:szCs w:val="24"/>
          <w:lang w:eastAsia="fr-BE"/>
        </w:rPr>
        <w:t>nitro-imidazolé</w:t>
      </w:r>
      <w:proofErr w:type="spellEnd"/>
      <w:r w:rsidR="00CF7BA1">
        <w:rPr>
          <w:sz w:val="24"/>
          <w:szCs w:val="24"/>
          <w:lang w:eastAsia="fr-BE"/>
        </w:rPr>
        <w:t xml:space="preserve">. </w:t>
      </w:r>
      <w:r>
        <w:rPr>
          <w:sz w:val="24"/>
          <w:szCs w:val="24"/>
          <w:lang w:eastAsia="fr-BE"/>
        </w:rPr>
        <w:t xml:space="preserve">Bien qu’aucune donnée de </w:t>
      </w:r>
      <w:proofErr w:type="spellStart"/>
      <w:r>
        <w:rPr>
          <w:sz w:val="24"/>
          <w:szCs w:val="24"/>
          <w:lang w:eastAsia="fr-BE"/>
        </w:rPr>
        <w:t>carcinogénicité</w:t>
      </w:r>
      <w:proofErr w:type="spellEnd"/>
      <w:r>
        <w:rPr>
          <w:sz w:val="24"/>
          <w:szCs w:val="24"/>
          <w:lang w:eastAsia="fr-BE"/>
        </w:rPr>
        <w:t xml:space="preserve"> ne soit disponible pour le </w:t>
      </w:r>
      <w:proofErr w:type="spellStart"/>
      <w:r>
        <w:rPr>
          <w:sz w:val="24"/>
          <w:szCs w:val="24"/>
          <w:lang w:eastAsia="fr-BE"/>
        </w:rPr>
        <w:t>tinidazole</w:t>
      </w:r>
      <w:proofErr w:type="spellEnd"/>
      <w:r>
        <w:rPr>
          <w:sz w:val="24"/>
          <w:szCs w:val="24"/>
          <w:lang w:eastAsia="fr-BE"/>
        </w:rPr>
        <w:t>, les deux molécules sont structurellement semblables et risquent donc de produir</w:t>
      </w:r>
      <w:r w:rsidR="00CF7BA1">
        <w:rPr>
          <w:sz w:val="24"/>
          <w:szCs w:val="24"/>
          <w:lang w:eastAsia="fr-BE"/>
        </w:rPr>
        <w:t>e les mêmes effets biologiques.</w:t>
      </w:r>
      <w:r>
        <w:rPr>
          <w:sz w:val="24"/>
          <w:szCs w:val="24"/>
          <w:lang w:eastAsia="fr-BE"/>
        </w:rPr>
        <w:t xml:space="preserve"> Les résultats de </w:t>
      </w:r>
      <w:proofErr w:type="spellStart"/>
      <w:r>
        <w:rPr>
          <w:sz w:val="24"/>
          <w:szCs w:val="24"/>
          <w:lang w:eastAsia="fr-BE"/>
        </w:rPr>
        <w:t>mutagénicité</w:t>
      </w:r>
      <w:proofErr w:type="spellEnd"/>
      <w:r>
        <w:rPr>
          <w:sz w:val="24"/>
          <w:szCs w:val="24"/>
          <w:lang w:eastAsia="fr-BE"/>
        </w:rPr>
        <w:t xml:space="preserve"> avec le </w:t>
      </w:r>
      <w:proofErr w:type="spellStart"/>
      <w:r>
        <w:rPr>
          <w:sz w:val="24"/>
          <w:szCs w:val="24"/>
          <w:lang w:eastAsia="fr-BE"/>
        </w:rPr>
        <w:t>tinidazole</w:t>
      </w:r>
      <w:proofErr w:type="spellEnd"/>
      <w:r>
        <w:rPr>
          <w:sz w:val="24"/>
          <w:szCs w:val="24"/>
          <w:lang w:eastAsia="fr-BE"/>
        </w:rPr>
        <w:t xml:space="preserve"> étaient mitigés (positifs et négatifs) (voir rubrique 5.3).  L’utilisation de </w:t>
      </w:r>
      <w:proofErr w:type="spellStart"/>
      <w:r>
        <w:rPr>
          <w:sz w:val="24"/>
          <w:szCs w:val="24"/>
          <w:lang w:eastAsia="fr-BE"/>
        </w:rPr>
        <w:t>tinidazole</w:t>
      </w:r>
      <w:proofErr w:type="spellEnd"/>
      <w:r>
        <w:rPr>
          <w:sz w:val="24"/>
          <w:szCs w:val="24"/>
          <w:lang w:eastAsia="fr-BE"/>
        </w:rPr>
        <w:t xml:space="preserve"> pour une période plus longue que celle généralement recommandées doit être envisagée avec précaution.</w:t>
      </w:r>
    </w:p>
    <w:p w14:paraId="45AC9BD6" w14:textId="6CE692F7" w:rsidR="00373302" w:rsidRPr="00EE32E5" w:rsidRDefault="00373302" w:rsidP="00EE32E5">
      <w:pPr>
        <w:jc w:val="both"/>
        <w:rPr>
          <w:sz w:val="24"/>
          <w:szCs w:val="24"/>
          <w:lang w:eastAsia="fr-BE"/>
        </w:rPr>
      </w:pPr>
    </w:p>
    <w:p w14:paraId="09E33F28" w14:textId="77777777" w:rsidR="00373302" w:rsidRPr="00EE32E5" w:rsidRDefault="00373302" w:rsidP="00EE32E5">
      <w:pPr>
        <w:jc w:val="both"/>
        <w:rPr>
          <w:sz w:val="24"/>
          <w:szCs w:val="24"/>
          <w:lang w:eastAsia="fr-BE"/>
        </w:rPr>
      </w:pPr>
      <w:r w:rsidRPr="00EE32E5">
        <w:rPr>
          <w:sz w:val="24"/>
          <w:szCs w:val="24"/>
          <w:lang w:eastAsia="fr-BE"/>
        </w:rPr>
        <w:t>Des troubles neurologiques, tels qu'étourdissements, vertiges, incoordination, ataxie, neuropathie périphérique et, rarement, convulsions, peuvent se présenter. Si des symptômes neurologiques suspects se présentaient au cours du traitement, celui-ci devrait immédiatement être arrêté.</w:t>
      </w:r>
    </w:p>
    <w:p w14:paraId="6DFA8FE9" w14:textId="12C0267F" w:rsidR="001E592A" w:rsidRPr="00EE32E5" w:rsidRDefault="00373302" w:rsidP="00EE32E5">
      <w:pPr>
        <w:jc w:val="both"/>
        <w:rPr>
          <w:sz w:val="24"/>
          <w:szCs w:val="24"/>
          <w:lang w:eastAsia="fr-BE"/>
        </w:rPr>
      </w:pPr>
      <w:r w:rsidRPr="00EE32E5">
        <w:rPr>
          <w:sz w:val="24"/>
          <w:szCs w:val="24"/>
          <w:lang w:eastAsia="fr-BE"/>
        </w:rPr>
        <w:t xml:space="preserve">L'absorption concomitante de boissons alcoolisées est à éviter au cours du traitement et pendant au moins 3 jours après l'arrêt du traitement par </w:t>
      </w:r>
      <w:proofErr w:type="spellStart"/>
      <w:r w:rsidRPr="00EE32E5">
        <w:rPr>
          <w:sz w:val="24"/>
          <w:szCs w:val="24"/>
          <w:lang w:eastAsia="fr-BE"/>
        </w:rPr>
        <w:t>tinidazole</w:t>
      </w:r>
      <w:proofErr w:type="spellEnd"/>
      <w:r w:rsidRPr="00EE32E5">
        <w:rPr>
          <w:sz w:val="24"/>
          <w:szCs w:val="24"/>
          <w:lang w:eastAsia="fr-BE"/>
        </w:rPr>
        <w:t xml:space="preserve"> (voir </w:t>
      </w:r>
      <w:r w:rsidR="009F6A1E">
        <w:rPr>
          <w:sz w:val="24"/>
          <w:szCs w:val="24"/>
          <w:lang w:eastAsia="fr-BE"/>
        </w:rPr>
        <w:t>rubrique 4.5).</w:t>
      </w:r>
    </w:p>
    <w:p w14:paraId="406FC831" w14:textId="7D87EC85" w:rsidR="00931B43" w:rsidRPr="00EE32E5" w:rsidRDefault="00931B43" w:rsidP="00EE32E5">
      <w:pPr>
        <w:autoSpaceDE w:val="0"/>
        <w:autoSpaceDN w:val="0"/>
        <w:adjustRightInd w:val="0"/>
        <w:jc w:val="both"/>
        <w:rPr>
          <w:sz w:val="24"/>
          <w:szCs w:val="24"/>
          <w:lang w:eastAsia="fr-BE"/>
        </w:rPr>
      </w:pPr>
      <w:r w:rsidRPr="00EE32E5">
        <w:rPr>
          <w:sz w:val="24"/>
          <w:szCs w:val="24"/>
          <w:lang w:eastAsia="fr-BE"/>
        </w:rPr>
        <w:t xml:space="preserve">Ce médicament contient du </w:t>
      </w:r>
      <w:proofErr w:type="spellStart"/>
      <w:r w:rsidRPr="00EE32E5">
        <w:rPr>
          <w:sz w:val="24"/>
          <w:szCs w:val="24"/>
          <w:lang w:eastAsia="fr-BE"/>
        </w:rPr>
        <w:t>parahydroxybenzoate</w:t>
      </w:r>
      <w:proofErr w:type="spellEnd"/>
      <w:r w:rsidRPr="00EE32E5">
        <w:rPr>
          <w:sz w:val="24"/>
          <w:szCs w:val="24"/>
          <w:lang w:eastAsia="fr-BE"/>
        </w:rPr>
        <w:t xml:space="preserve"> de méthyle et de </w:t>
      </w:r>
      <w:proofErr w:type="spellStart"/>
      <w:r w:rsidRPr="00EE32E5">
        <w:rPr>
          <w:sz w:val="24"/>
          <w:szCs w:val="24"/>
          <w:lang w:eastAsia="fr-BE"/>
        </w:rPr>
        <w:t>propyle</w:t>
      </w:r>
      <w:proofErr w:type="spellEnd"/>
      <w:r w:rsidRPr="00EE32E5">
        <w:rPr>
          <w:sz w:val="24"/>
          <w:szCs w:val="24"/>
          <w:lang w:eastAsia="fr-BE"/>
        </w:rPr>
        <w:t xml:space="preserve"> sodique qui peuvent provoquer des réactions allergiques (éventuellement retardées).</w:t>
      </w:r>
    </w:p>
    <w:p w14:paraId="1B5FE508" w14:textId="77777777" w:rsidR="001E592A" w:rsidRPr="00EE32E5" w:rsidRDefault="001E592A" w:rsidP="00EE32E5">
      <w:pPr>
        <w:suppressAutoHyphens/>
        <w:jc w:val="both"/>
        <w:rPr>
          <w:noProof/>
          <w:sz w:val="24"/>
          <w:szCs w:val="24"/>
        </w:rPr>
      </w:pPr>
    </w:p>
    <w:p w14:paraId="48E22698" w14:textId="6289AC8A" w:rsidR="001E592A" w:rsidRDefault="001E592A" w:rsidP="00EE32E5">
      <w:pPr>
        <w:suppressAutoHyphens/>
        <w:ind w:left="567" w:hanging="567"/>
        <w:jc w:val="both"/>
        <w:rPr>
          <w:b/>
          <w:noProof/>
          <w:sz w:val="24"/>
          <w:szCs w:val="24"/>
        </w:rPr>
      </w:pPr>
      <w:r w:rsidRPr="00EE32E5">
        <w:rPr>
          <w:b/>
          <w:noProof/>
          <w:sz w:val="24"/>
          <w:szCs w:val="24"/>
        </w:rPr>
        <w:t>4.5</w:t>
      </w:r>
      <w:r w:rsidRPr="00EE32E5">
        <w:rPr>
          <w:b/>
          <w:noProof/>
          <w:sz w:val="24"/>
          <w:szCs w:val="24"/>
        </w:rPr>
        <w:tab/>
        <w:t>Interactions avec d’autres médicaments et autres formes d’interactions</w:t>
      </w:r>
    </w:p>
    <w:p w14:paraId="56AD1EA5" w14:textId="4A7D8B17" w:rsidR="009F6A1E" w:rsidRDefault="009F6A1E" w:rsidP="00EE32E5">
      <w:pPr>
        <w:suppressAutoHyphens/>
        <w:ind w:left="567" w:hanging="567"/>
        <w:jc w:val="both"/>
        <w:rPr>
          <w:b/>
          <w:noProof/>
          <w:sz w:val="24"/>
          <w:szCs w:val="24"/>
        </w:rPr>
      </w:pPr>
    </w:p>
    <w:p w14:paraId="4D4DC174" w14:textId="30107681" w:rsidR="009F6A1E" w:rsidRPr="00EE32E5" w:rsidRDefault="009F6A1E" w:rsidP="00EE32E5">
      <w:pPr>
        <w:suppressAutoHyphens/>
        <w:ind w:left="567" w:hanging="567"/>
        <w:jc w:val="both"/>
        <w:rPr>
          <w:bCs/>
          <w:noProof/>
          <w:sz w:val="24"/>
          <w:szCs w:val="24"/>
          <w:u w:val="single"/>
        </w:rPr>
      </w:pPr>
      <w:r w:rsidRPr="00EE32E5">
        <w:rPr>
          <w:bCs/>
          <w:noProof/>
          <w:sz w:val="24"/>
          <w:szCs w:val="24"/>
          <w:u w:val="single"/>
        </w:rPr>
        <w:t>Alcool</w:t>
      </w:r>
    </w:p>
    <w:p w14:paraId="029F0D28" w14:textId="798D75E0" w:rsidR="009F6A1E" w:rsidRDefault="009F6A1E" w:rsidP="00EE32E5">
      <w:pPr>
        <w:suppressAutoHyphens/>
        <w:jc w:val="both"/>
        <w:rPr>
          <w:bCs/>
          <w:noProof/>
          <w:sz w:val="24"/>
          <w:szCs w:val="24"/>
        </w:rPr>
      </w:pPr>
      <w:r>
        <w:rPr>
          <w:bCs/>
          <w:noProof/>
          <w:sz w:val="24"/>
          <w:szCs w:val="24"/>
        </w:rPr>
        <w:t>L’absorption concomitante de boissons alcoolisées doit être évitée au cours du traitement et pendant au moins 3 jours après l’arrêt du traitement, un effet disulfiram pouvant survenir (bouffées vasomotrices, crampes abdominales, vomissements, tachychardie).</w:t>
      </w:r>
    </w:p>
    <w:p w14:paraId="42F00E62" w14:textId="0E6490C2" w:rsidR="009F6A1E" w:rsidRDefault="009F6A1E" w:rsidP="00EE32E5">
      <w:pPr>
        <w:suppressAutoHyphens/>
        <w:jc w:val="both"/>
        <w:rPr>
          <w:bCs/>
          <w:noProof/>
          <w:sz w:val="24"/>
          <w:szCs w:val="24"/>
        </w:rPr>
      </w:pPr>
    </w:p>
    <w:p w14:paraId="43121D12" w14:textId="358B8A2B" w:rsidR="009F6A1E" w:rsidRPr="00EE32E5" w:rsidRDefault="009F6A1E" w:rsidP="00EE32E5">
      <w:pPr>
        <w:suppressAutoHyphens/>
        <w:jc w:val="both"/>
        <w:rPr>
          <w:bCs/>
          <w:noProof/>
          <w:sz w:val="24"/>
          <w:szCs w:val="24"/>
          <w:u w:val="single"/>
        </w:rPr>
      </w:pPr>
      <w:r w:rsidRPr="00EE32E5">
        <w:rPr>
          <w:bCs/>
          <w:noProof/>
          <w:sz w:val="24"/>
          <w:szCs w:val="24"/>
          <w:u w:val="single"/>
        </w:rPr>
        <w:t>Anticoagulants</w:t>
      </w:r>
    </w:p>
    <w:p w14:paraId="0F8AA0BE" w14:textId="16FC6A97" w:rsidR="00307783" w:rsidRPr="00EE32E5" w:rsidRDefault="009F6A1E" w:rsidP="00EE32E5">
      <w:pPr>
        <w:jc w:val="both"/>
        <w:rPr>
          <w:sz w:val="24"/>
          <w:szCs w:val="24"/>
        </w:rPr>
      </w:pPr>
      <w:r>
        <w:rPr>
          <w:bCs/>
          <w:noProof/>
          <w:sz w:val="24"/>
          <w:szCs w:val="24"/>
        </w:rPr>
        <w:t xml:space="preserve">TINAZOL, </w:t>
      </w:r>
      <w:r w:rsidR="00307783" w:rsidRPr="00EE32E5">
        <w:rPr>
          <w:sz w:val="24"/>
          <w:szCs w:val="24"/>
        </w:rPr>
        <w:t>comme</w:t>
      </w:r>
      <w:r w:rsidR="00BD6B56">
        <w:rPr>
          <w:sz w:val="24"/>
          <w:szCs w:val="24"/>
        </w:rPr>
        <w:t xml:space="preserve"> </w:t>
      </w:r>
      <w:r w:rsidR="00307783" w:rsidRPr="00EE32E5">
        <w:rPr>
          <w:sz w:val="24"/>
          <w:szCs w:val="24"/>
        </w:rPr>
        <w:t>les autres dérivés 5-nitro</w:t>
      </w:r>
      <w:r>
        <w:rPr>
          <w:sz w:val="24"/>
          <w:szCs w:val="24"/>
        </w:rPr>
        <w:t>-</w:t>
      </w:r>
      <w:r w:rsidR="00307783" w:rsidRPr="00EE32E5">
        <w:rPr>
          <w:sz w:val="24"/>
          <w:szCs w:val="24"/>
        </w:rPr>
        <w:t xml:space="preserve">imidazolés, </w:t>
      </w:r>
      <w:r w:rsidR="00373302" w:rsidRPr="00EE32E5">
        <w:rPr>
          <w:sz w:val="24"/>
          <w:szCs w:val="24"/>
        </w:rPr>
        <w:t xml:space="preserve">peut potentialiser l’action des </w:t>
      </w:r>
      <w:r w:rsidR="00307783" w:rsidRPr="00EE32E5">
        <w:rPr>
          <w:sz w:val="24"/>
          <w:szCs w:val="24"/>
        </w:rPr>
        <w:t xml:space="preserve">anticoagulants </w:t>
      </w:r>
      <w:r>
        <w:rPr>
          <w:sz w:val="24"/>
          <w:szCs w:val="24"/>
        </w:rPr>
        <w:t xml:space="preserve">oraux de type </w:t>
      </w:r>
      <w:proofErr w:type="spellStart"/>
      <w:r w:rsidR="00307783" w:rsidRPr="00EE32E5">
        <w:rPr>
          <w:sz w:val="24"/>
          <w:szCs w:val="24"/>
        </w:rPr>
        <w:t>coumarinique</w:t>
      </w:r>
      <w:proofErr w:type="spellEnd"/>
      <w:r>
        <w:rPr>
          <w:sz w:val="24"/>
          <w:szCs w:val="24"/>
        </w:rPr>
        <w:t xml:space="preserve"> (</w:t>
      </w:r>
      <w:proofErr w:type="spellStart"/>
      <w:r>
        <w:rPr>
          <w:sz w:val="24"/>
          <w:szCs w:val="24"/>
        </w:rPr>
        <w:t>warfarine</w:t>
      </w:r>
      <w:proofErr w:type="spellEnd"/>
      <w:r>
        <w:rPr>
          <w:sz w:val="24"/>
          <w:szCs w:val="24"/>
        </w:rPr>
        <w:t xml:space="preserve">, </w:t>
      </w:r>
      <w:proofErr w:type="spellStart"/>
      <w:r>
        <w:rPr>
          <w:sz w:val="24"/>
          <w:szCs w:val="24"/>
        </w:rPr>
        <w:t>acénocoumarol</w:t>
      </w:r>
      <w:proofErr w:type="spellEnd"/>
      <w:r>
        <w:rPr>
          <w:sz w:val="24"/>
          <w:szCs w:val="24"/>
        </w:rPr>
        <w:t xml:space="preserve">, dicoumarol, </w:t>
      </w:r>
      <w:proofErr w:type="spellStart"/>
      <w:r>
        <w:rPr>
          <w:sz w:val="24"/>
          <w:szCs w:val="24"/>
        </w:rPr>
        <w:t>anisindione</w:t>
      </w:r>
      <w:proofErr w:type="spellEnd"/>
      <w:r>
        <w:rPr>
          <w:sz w:val="24"/>
          <w:szCs w:val="24"/>
        </w:rPr>
        <w:t xml:space="preserve">, </w:t>
      </w:r>
      <w:proofErr w:type="spellStart"/>
      <w:r>
        <w:rPr>
          <w:sz w:val="24"/>
          <w:szCs w:val="24"/>
        </w:rPr>
        <w:t>phénindione</w:t>
      </w:r>
      <w:proofErr w:type="spellEnd"/>
      <w:r>
        <w:rPr>
          <w:sz w:val="24"/>
          <w:szCs w:val="24"/>
        </w:rPr>
        <w:t xml:space="preserve">, </w:t>
      </w:r>
      <w:proofErr w:type="spellStart"/>
      <w:r>
        <w:rPr>
          <w:sz w:val="24"/>
          <w:szCs w:val="24"/>
        </w:rPr>
        <w:t>phenprocoumone</w:t>
      </w:r>
      <w:proofErr w:type="spellEnd"/>
      <w:r>
        <w:rPr>
          <w:sz w:val="24"/>
          <w:szCs w:val="24"/>
        </w:rPr>
        <w:t>)</w:t>
      </w:r>
      <w:r w:rsidR="00307783" w:rsidRPr="00EE32E5">
        <w:rPr>
          <w:sz w:val="24"/>
          <w:szCs w:val="24"/>
        </w:rPr>
        <w:t>.</w:t>
      </w:r>
      <w:r w:rsidR="00DF1A7E" w:rsidRPr="00EE32E5">
        <w:rPr>
          <w:sz w:val="24"/>
          <w:szCs w:val="24"/>
        </w:rPr>
        <w:t xml:space="preserve"> </w:t>
      </w:r>
      <w:r>
        <w:rPr>
          <w:sz w:val="24"/>
          <w:szCs w:val="24"/>
        </w:rPr>
        <w:t xml:space="preserve"> </w:t>
      </w:r>
      <w:r w:rsidR="00DF1A7E" w:rsidRPr="00EE32E5">
        <w:rPr>
          <w:sz w:val="24"/>
          <w:szCs w:val="24"/>
        </w:rPr>
        <w:t xml:space="preserve">Les temps de prothrombine seront étroitement surveillés et la dose de l’anticoagulant sera adaptée si nécessaire. </w:t>
      </w:r>
    </w:p>
    <w:p w14:paraId="5445502B" w14:textId="77777777" w:rsidR="00307783" w:rsidRPr="00EE32E5" w:rsidRDefault="00307783" w:rsidP="00EE32E5">
      <w:pPr>
        <w:jc w:val="both"/>
        <w:rPr>
          <w:sz w:val="24"/>
          <w:szCs w:val="24"/>
        </w:rPr>
      </w:pPr>
    </w:p>
    <w:p w14:paraId="58B26204" w14:textId="6C91D4AE" w:rsidR="001E592A" w:rsidRDefault="001E592A" w:rsidP="00EE32E5">
      <w:pPr>
        <w:suppressAutoHyphens/>
        <w:ind w:left="567" w:hanging="567"/>
        <w:jc w:val="both"/>
        <w:rPr>
          <w:b/>
          <w:noProof/>
          <w:sz w:val="24"/>
          <w:szCs w:val="24"/>
        </w:rPr>
      </w:pPr>
      <w:r w:rsidRPr="00EE32E5">
        <w:rPr>
          <w:b/>
          <w:noProof/>
          <w:sz w:val="24"/>
          <w:szCs w:val="24"/>
        </w:rPr>
        <w:t>4</w:t>
      </w:r>
      <w:r w:rsidR="00373302" w:rsidRPr="00EE32E5">
        <w:rPr>
          <w:b/>
          <w:noProof/>
          <w:sz w:val="24"/>
          <w:szCs w:val="24"/>
        </w:rPr>
        <w:t>.6</w:t>
      </w:r>
      <w:r w:rsidR="00373302" w:rsidRPr="00EE32E5">
        <w:rPr>
          <w:b/>
          <w:noProof/>
          <w:sz w:val="24"/>
          <w:szCs w:val="24"/>
        </w:rPr>
        <w:tab/>
      </w:r>
      <w:r w:rsidR="009F6A1E">
        <w:rPr>
          <w:b/>
          <w:noProof/>
          <w:sz w:val="24"/>
          <w:szCs w:val="24"/>
        </w:rPr>
        <w:t>Fertilité, g</w:t>
      </w:r>
      <w:r w:rsidRPr="00EE32E5">
        <w:rPr>
          <w:b/>
          <w:noProof/>
          <w:sz w:val="24"/>
          <w:szCs w:val="24"/>
        </w:rPr>
        <w:t>rossesse et allaitement</w:t>
      </w:r>
    </w:p>
    <w:p w14:paraId="68A5A951" w14:textId="365D7200" w:rsidR="009F6A1E" w:rsidRDefault="009F6A1E" w:rsidP="001E592A">
      <w:pPr>
        <w:suppressAutoHyphens/>
        <w:ind w:left="567" w:hanging="567"/>
        <w:rPr>
          <w:b/>
          <w:noProof/>
          <w:sz w:val="24"/>
          <w:szCs w:val="24"/>
        </w:rPr>
      </w:pPr>
    </w:p>
    <w:p w14:paraId="39EB4138" w14:textId="437A4852" w:rsidR="009F6A1E" w:rsidRPr="00EE32E5" w:rsidRDefault="009F6A1E" w:rsidP="001E592A">
      <w:pPr>
        <w:suppressAutoHyphens/>
        <w:ind w:left="567" w:hanging="567"/>
        <w:rPr>
          <w:bCs/>
          <w:noProof/>
          <w:sz w:val="24"/>
          <w:szCs w:val="24"/>
          <w:u w:val="single"/>
        </w:rPr>
      </w:pPr>
      <w:r w:rsidRPr="00EE32E5">
        <w:rPr>
          <w:bCs/>
          <w:noProof/>
          <w:sz w:val="24"/>
          <w:szCs w:val="24"/>
          <w:u w:val="single"/>
        </w:rPr>
        <w:t>Grossesse</w:t>
      </w:r>
    </w:p>
    <w:p w14:paraId="67ADF3D7" w14:textId="77777777" w:rsidR="009F6A1E" w:rsidRDefault="009F6A1E" w:rsidP="00373302">
      <w:pPr>
        <w:rPr>
          <w:sz w:val="24"/>
          <w:szCs w:val="24"/>
        </w:rPr>
      </w:pPr>
    </w:p>
    <w:p w14:paraId="63789348" w14:textId="4BEDFAF9" w:rsidR="00373302" w:rsidRDefault="009F6A1E" w:rsidP="00373302">
      <w:pPr>
        <w:rPr>
          <w:sz w:val="24"/>
          <w:szCs w:val="24"/>
        </w:rPr>
      </w:pPr>
      <w:r>
        <w:rPr>
          <w:sz w:val="24"/>
          <w:szCs w:val="24"/>
        </w:rPr>
        <w:t xml:space="preserve">Il existe des données limitées sur l’utilisation du </w:t>
      </w:r>
      <w:proofErr w:type="spellStart"/>
      <w:r w:rsidR="00373302" w:rsidRPr="00EE32E5">
        <w:rPr>
          <w:sz w:val="24"/>
          <w:szCs w:val="24"/>
        </w:rPr>
        <w:t>tinidazole</w:t>
      </w:r>
      <w:proofErr w:type="spellEnd"/>
      <w:r w:rsidR="00373302" w:rsidRPr="00EE32E5">
        <w:rPr>
          <w:sz w:val="24"/>
          <w:szCs w:val="24"/>
        </w:rPr>
        <w:t xml:space="preserve"> </w:t>
      </w:r>
      <w:r>
        <w:rPr>
          <w:sz w:val="24"/>
          <w:szCs w:val="24"/>
        </w:rPr>
        <w:t>chez la femme enceinte.</w:t>
      </w:r>
    </w:p>
    <w:p w14:paraId="04D97FA7" w14:textId="427C0A91" w:rsidR="009F6A1E" w:rsidRDefault="009F6A1E" w:rsidP="00EE32E5">
      <w:pPr>
        <w:jc w:val="both"/>
        <w:rPr>
          <w:sz w:val="24"/>
          <w:szCs w:val="24"/>
        </w:rPr>
      </w:pPr>
      <w:r>
        <w:rPr>
          <w:sz w:val="24"/>
          <w:szCs w:val="24"/>
        </w:rPr>
        <w:lastRenderedPageBreak/>
        <w:br/>
        <w:t>Les études effectuées chez l’animal ont mis en évidence une toxicité sur la reproduction (voir rubrique 5.3).</w:t>
      </w:r>
    </w:p>
    <w:p w14:paraId="2BAE21B0" w14:textId="524F1B94" w:rsidR="009F6A1E" w:rsidRDefault="009F6A1E" w:rsidP="00373302">
      <w:pPr>
        <w:rPr>
          <w:sz w:val="24"/>
          <w:szCs w:val="24"/>
        </w:rPr>
      </w:pPr>
    </w:p>
    <w:p w14:paraId="3FE1D0E9" w14:textId="488732EE" w:rsidR="009F6A1E" w:rsidRDefault="009F6A1E" w:rsidP="00EE32E5">
      <w:pPr>
        <w:jc w:val="both"/>
        <w:rPr>
          <w:sz w:val="24"/>
          <w:szCs w:val="24"/>
        </w:rPr>
      </w:pPr>
      <w:r>
        <w:rPr>
          <w:sz w:val="24"/>
          <w:szCs w:val="24"/>
        </w:rPr>
        <w:t xml:space="preserve">Le </w:t>
      </w:r>
      <w:proofErr w:type="spellStart"/>
      <w:r>
        <w:rPr>
          <w:sz w:val="24"/>
          <w:szCs w:val="24"/>
        </w:rPr>
        <w:t>tinidazole</w:t>
      </w:r>
      <w:proofErr w:type="spellEnd"/>
      <w:r>
        <w:rPr>
          <w:sz w:val="24"/>
          <w:szCs w:val="24"/>
        </w:rPr>
        <w:t xml:space="preserve"> traverse la barrière placentaire.  Bien que les effets des composés de cette classe sur le développement fœtal ne soient pas connus, le </w:t>
      </w:r>
      <w:proofErr w:type="spellStart"/>
      <w:r>
        <w:rPr>
          <w:sz w:val="24"/>
          <w:szCs w:val="24"/>
        </w:rPr>
        <w:t>tinidazole</w:t>
      </w:r>
      <w:proofErr w:type="spellEnd"/>
      <w:r>
        <w:rPr>
          <w:sz w:val="24"/>
          <w:szCs w:val="24"/>
        </w:rPr>
        <w:t xml:space="preserve"> est contre-indiqué au cours du premier trimestre de grossesse.</w:t>
      </w:r>
    </w:p>
    <w:p w14:paraId="05B99E1F" w14:textId="3CF3AD94" w:rsidR="009F6A1E" w:rsidRDefault="009F6A1E" w:rsidP="00EE32E5">
      <w:pPr>
        <w:jc w:val="both"/>
        <w:rPr>
          <w:sz w:val="24"/>
          <w:szCs w:val="24"/>
        </w:rPr>
      </w:pPr>
    </w:p>
    <w:p w14:paraId="6B56E7F2" w14:textId="6C3C1EAA" w:rsidR="009F6A1E" w:rsidRDefault="009F6A1E" w:rsidP="00EE32E5">
      <w:pPr>
        <w:jc w:val="both"/>
        <w:rPr>
          <w:sz w:val="24"/>
          <w:szCs w:val="24"/>
        </w:rPr>
      </w:pPr>
      <w:r>
        <w:rPr>
          <w:sz w:val="24"/>
          <w:szCs w:val="24"/>
        </w:rPr>
        <w:t xml:space="preserve">Aucune donnée ne montre que le </w:t>
      </w:r>
      <w:proofErr w:type="spellStart"/>
      <w:r>
        <w:rPr>
          <w:sz w:val="24"/>
          <w:szCs w:val="24"/>
        </w:rPr>
        <w:t>tinidazole</w:t>
      </w:r>
      <w:proofErr w:type="spellEnd"/>
      <w:r>
        <w:rPr>
          <w:sz w:val="24"/>
          <w:szCs w:val="24"/>
        </w:rPr>
        <w:t xml:space="preserve"> est toxique au cours des autres trimestres de grossesse, mais il ne doit être utilisé</w:t>
      </w:r>
      <w:r w:rsidR="00C66659">
        <w:rPr>
          <w:sz w:val="24"/>
          <w:szCs w:val="24"/>
        </w:rPr>
        <w:t xml:space="preserve">, durant le deuxième et troisième trimestre, qu’en cas d’absolue nécessité, lorsque les bénéfices du traitement l’emportent sur les risques possibles pour la mère et </w:t>
      </w:r>
      <w:r w:rsidR="00593AE6">
        <w:rPr>
          <w:sz w:val="24"/>
          <w:szCs w:val="24"/>
        </w:rPr>
        <w:t xml:space="preserve">le </w:t>
      </w:r>
      <w:r w:rsidR="00C66659">
        <w:rPr>
          <w:sz w:val="24"/>
          <w:szCs w:val="24"/>
        </w:rPr>
        <w:t xml:space="preserve">fœtus (voir rubrique 5.3).  Le potentiel tératogène du </w:t>
      </w:r>
      <w:proofErr w:type="spellStart"/>
      <w:r w:rsidR="00C66659">
        <w:rPr>
          <w:sz w:val="24"/>
          <w:szCs w:val="24"/>
        </w:rPr>
        <w:t>tinidazole</w:t>
      </w:r>
      <w:proofErr w:type="spellEnd"/>
      <w:r w:rsidR="00C66659">
        <w:rPr>
          <w:sz w:val="24"/>
          <w:szCs w:val="24"/>
        </w:rPr>
        <w:t xml:space="preserve"> a été évalué en fonction d’un ensemble de données basé sur une large population.  Des 22</w:t>
      </w:r>
      <w:r w:rsidR="006549DE">
        <w:rPr>
          <w:sz w:val="24"/>
          <w:szCs w:val="24"/>
        </w:rPr>
        <w:t>.</w:t>
      </w:r>
      <w:r w:rsidR="00C66659">
        <w:rPr>
          <w:sz w:val="24"/>
          <w:szCs w:val="24"/>
        </w:rPr>
        <w:t xml:space="preserve">843 cas présentant </w:t>
      </w:r>
      <w:r w:rsidR="003753FF">
        <w:rPr>
          <w:sz w:val="24"/>
          <w:szCs w:val="24"/>
        </w:rPr>
        <w:t xml:space="preserve">des anomalies congénitales, seulement 10 (0,04%) avaient une mère traitée par </w:t>
      </w:r>
      <w:proofErr w:type="spellStart"/>
      <w:r w:rsidR="003753FF">
        <w:rPr>
          <w:sz w:val="24"/>
          <w:szCs w:val="24"/>
        </w:rPr>
        <w:t>tinidazole</w:t>
      </w:r>
      <w:proofErr w:type="spellEnd"/>
      <w:r w:rsidR="003753FF">
        <w:rPr>
          <w:sz w:val="24"/>
          <w:szCs w:val="24"/>
        </w:rPr>
        <w:t xml:space="preserve"> pendant la grossesse, et des 38</w:t>
      </w:r>
      <w:r w:rsidR="006549DE">
        <w:rPr>
          <w:sz w:val="24"/>
          <w:szCs w:val="24"/>
        </w:rPr>
        <w:t>.</w:t>
      </w:r>
      <w:r w:rsidR="003753FF">
        <w:rPr>
          <w:sz w:val="24"/>
          <w:szCs w:val="24"/>
        </w:rPr>
        <w:t xml:space="preserve">151 cas de contrôle (sans anomalies congénitales), 16 (0.04 %) avaient une mère traitée par </w:t>
      </w:r>
      <w:proofErr w:type="spellStart"/>
      <w:r w:rsidR="003753FF">
        <w:rPr>
          <w:sz w:val="24"/>
          <w:szCs w:val="24"/>
        </w:rPr>
        <w:t>tinidazole</w:t>
      </w:r>
      <w:proofErr w:type="spellEnd"/>
      <w:r w:rsidR="003753FF">
        <w:rPr>
          <w:sz w:val="24"/>
          <w:szCs w:val="24"/>
        </w:rPr>
        <w:t xml:space="preserve"> pendant la grossesse.</w:t>
      </w:r>
      <w:r w:rsidR="00C66659">
        <w:rPr>
          <w:sz w:val="24"/>
          <w:szCs w:val="24"/>
        </w:rPr>
        <w:t xml:space="preserve"> </w:t>
      </w:r>
      <w:r w:rsidR="004F75F7">
        <w:rPr>
          <w:sz w:val="24"/>
          <w:szCs w:val="24"/>
        </w:rPr>
        <w:t xml:space="preserve">  La majorité des mères avaient été traitées principalement au deuxième trimestre.</w:t>
      </w:r>
    </w:p>
    <w:p w14:paraId="753F4D1F" w14:textId="187E95C6" w:rsidR="004F75F7" w:rsidRDefault="004F75F7" w:rsidP="00373302">
      <w:pPr>
        <w:rPr>
          <w:sz w:val="24"/>
          <w:szCs w:val="24"/>
        </w:rPr>
      </w:pPr>
    </w:p>
    <w:p w14:paraId="4B449BFB" w14:textId="586D8B75" w:rsidR="004F75F7" w:rsidRPr="00EE32E5" w:rsidRDefault="004F75F7" w:rsidP="00373302">
      <w:pPr>
        <w:rPr>
          <w:sz w:val="24"/>
          <w:szCs w:val="24"/>
          <w:u w:val="single"/>
        </w:rPr>
      </w:pPr>
      <w:r w:rsidRPr="00EE32E5">
        <w:rPr>
          <w:sz w:val="24"/>
          <w:szCs w:val="24"/>
          <w:u w:val="single"/>
        </w:rPr>
        <w:t>Allaitement</w:t>
      </w:r>
    </w:p>
    <w:p w14:paraId="7D8BE024" w14:textId="77777777" w:rsidR="004F75F7" w:rsidRPr="00EE32E5" w:rsidRDefault="004F75F7" w:rsidP="00373302">
      <w:pPr>
        <w:rPr>
          <w:sz w:val="24"/>
          <w:szCs w:val="24"/>
        </w:rPr>
      </w:pPr>
    </w:p>
    <w:p w14:paraId="77754D12" w14:textId="77777777" w:rsidR="004F75F7" w:rsidRDefault="004F75F7" w:rsidP="00EE32E5">
      <w:pPr>
        <w:jc w:val="both"/>
        <w:rPr>
          <w:sz w:val="24"/>
          <w:szCs w:val="24"/>
        </w:rPr>
      </w:pPr>
      <w:r>
        <w:rPr>
          <w:sz w:val="24"/>
          <w:szCs w:val="24"/>
        </w:rPr>
        <w:t xml:space="preserve">Le </w:t>
      </w:r>
      <w:proofErr w:type="spellStart"/>
      <w:r>
        <w:rPr>
          <w:sz w:val="24"/>
          <w:szCs w:val="24"/>
        </w:rPr>
        <w:t>tinidazole</w:t>
      </w:r>
      <w:proofErr w:type="spellEnd"/>
      <w:r>
        <w:rPr>
          <w:sz w:val="24"/>
          <w:szCs w:val="24"/>
        </w:rPr>
        <w:t xml:space="preserve"> est excrété dans le lait maternel en une quantité qui risque d’avoir des effets sur les nouveau-nés/nourrissons allaités.</w:t>
      </w:r>
    </w:p>
    <w:p w14:paraId="1A30414F" w14:textId="77777777" w:rsidR="004F75F7" w:rsidRDefault="004F75F7" w:rsidP="00373302">
      <w:pPr>
        <w:rPr>
          <w:sz w:val="24"/>
          <w:szCs w:val="24"/>
        </w:rPr>
      </w:pPr>
    </w:p>
    <w:p w14:paraId="0867A2F2" w14:textId="1B5B3911" w:rsidR="004F75F7" w:rsidRDefault="004F75F7" w:rsidP="00EE32E5">
      <w:pPr>
        <w:suppressAutoHyphens/>
        <w:jc w:val="both"/>
        <w:rPr>
          <w:sz w:val="24"/>
          <w:szCs w:val="24"/>
        </w:rPr>
      </w:pPr>
      <w:r>
        <w:rPr>
          <w:sz w:val="24"/>
          <w:szCs w:val="24"/>
        </w:rPr>
        <w:t xml:space="preserve">Le </w:t>
      </w:r>
      <w:proofErr w:type="spellStart"/>
      <w:r>
        <w:rPr>
          <w:sz w:val="24"/>
          <w:szCs w:val="24"/>
        </w:rPr>
        <w:t>tinidazole</w:t>
      </w:r>
      <w:proofErr w:type="spellEnd"/>
      <w:r>
        <w:rPr>
          <w:sz w:val="24"/>
          <w:szCs w:val="24"/>
        </w:rPr>
        <w:t xml:space="preserve"> est contre-indiqué pendant l’a</w:t>
      </w:r>
      <w:r w:rsidR="00914DC9">
        <w:rPr>
          <w:sz w:val="24"/>
          <w:szCs w:val="24"/>
        </w:rPr>
        <w:t>llaitement (voir rubrique 4.3).</w:t>
      </w:r>
      <w:r>
        <w:rPr>
          <w:sz w:val="24"/>
          <w:szCs w:val="24"/>
        </w:rPr>
        <w:t xml:space="preserve"> Le </w:t>
      </w:r>
      <w:proofErr w:type="spellStart"/>
      <w:r>
        <w:rPr>
          <w:sz w:val="24"/>
          <w:szCs w:val="24"/>
        </w:rPr>
        <w:t>tinidazole</w:t>
      </w:r>
      <w:proofErr w:type="spellEnd"/>
      <w:r>
        <w:rPr>
          <w:sz w:val="24"/>
          <w:szCs w:val="24"/>
        </w:rPr>
        <w:t xml:space="preserve"> peut encore être présent dans le lait maternel plus de </w:t>
      </w:r>
      <w:r w:rsidR="00914DC9">
        <w:rPr>
          <w:sz w:val="24"/>
          <w:szCs w:val="24"/>
        </w:rPr>
        <w:t>72 heures après administration.</w:t>
      </w:r>
      <w:r>
        <w:rPr>
          <w:sz w:val="24"/>
          <w:szCs w:val="24"/>
        </w:rPr>
        <w:t xml:space="preserve"> Les femmes n’allaiteront pas pendant et au moins trois jours après l’a</w:t>
      </w:r>
      <w:r w:rsidR="00914DC9">
        <w:rPr>
          <w:sz w:val="24"/>
          <w:szCs w:val="24"/>
        </w:rPr>
        <w:t>rrêt du traitement par TINAZOL.</w:t>
      </w:r>
      <w:r>
        <w:rPr>
          <w:sz w:val="24"/>
          <w:szCs w:val="24"/>
        </w:rPr>
        <w:t xml:space="preserve"> Une décision doit être prise doit d’interrompre l’allaitement soit d’interrompre/de s’abstenir du traitement avec </w:t>
      </w:r>
      <w:proofErr w:type="spellStart"/>
      <w:r>
        <w:rPr>
          <w:sz w:val="24"/>
          <w:szCs w:val="24"/>
        </w:rPr>
        <w:t>tinidazole</w:t>
      </w:r>
      <w:proofErr w:type="spellEnd"/>
      <w:r>
        <w:rPr>
          <w:sz w:val="24"/>
          <w:szCs w:val="24"/>
        </w:rPr>
        <w:t xml:space="preserve"> en prenant en compte le bénéfice de l’allaitement pour l’enfant au regard du bénéfice du traitement pour la mère.</w:t>
      </w:r>
    </w:p>
    <w:p w14:paraId="3BF7AA72" w14:textId="2752BA65" w:rsidR="004F75F7" w:rsidRDefault="004F75F7" w:rsidP="001E592A">
      <w:pPr>
        <w:suppressAutoHyphens/>
        <w:rPr>
          <w:sz w:val="24"/>
          <w:szCs w:val="24"/>
        </w:rPr>
      </w:pPr>
    </w:p>
    <w:p w14:paraId="2BC58C82" w14:textId="0860359C" w:rsidR="004F75F7" w:rsidRPr="00EE32E5" w:rsidRDefault="004F75F7" w:rsidP="001E592A">
      <w:pPr>
        <w:suppressAutoHyphens/>
        <w:rPr>
          <w:sz w:val="24"/>
          <w:szCs w:val="24"/>
          <w:u w:val="single"/>
        </w:rPr>
      </w:pPr>
      <w:r w:rsidRPr="00EE32E5">
        <w:rPr>
          <w:sz w:val="24"/>
          <w:szCs w:val="24"/>
          <w:u w:val="single"/>
        </w:rPr>
        <w:t>Fertilité</w:t>
      </w:r>
    </w:p>
    <w:p w14:paraId="6DF55E5C" w14:textId="7931F491" w:rsidR="004F75F7" w:rsidRDefault="004F75F7" w:rsidP="001E592A">
      <w:pPr>
        <w:suppressAutoHyphens/>
        <w:rPr>
          <w:sz w:val="24"/>
          <w:szCs w:val="24"/>
        </w:rPr>
      </w:pPr>
    </w:p>
    <w:p w14:paraId="0C805657" w14:textId="13A36346" w:rsidR="004F75F7" w:rsidRDefault="004F75F7" w:rsidP="00EE32E5">
      <w:pPr>
        <w:suppressAutoHyphens/>
        <w:jc w:val="both"/>
        <w:rPr>
          <w:sz w:val="24"/>
          <w:szCs w:val="24"/>
        </w:rPr>
      </w:pPr>
      <w:r>
        <w:rPr>
          <w:sz w:val="24"/>
          <w:szCs w:val="24"/>
        </w:rPr>
        <w:t>Il n’existe pas de donnée clinique sur la fertilité masculine et féminine.  Les études effectuées chez l’animal montrent une pertur</w:t>
      </w:r>
      <w:r w:rsidR="00914DC9">
        <w:rPr>
          <w:sz w:val="24"/>
          <w:szCs w:val="24"/>
        </w:rPr>
        <w:t>bation de la fertilité chez les mâles et les fe</w:t>
      </w:r>
      <w:r>
        <w:rPr>
          <w:sz w:val="24"/>
          <w:szCs w:val="24"/>
        </w:rPr>
        <w:t>me</w:t>
      </w:r>
      <w:r w:rsidR="00914DC9">
        <w:rPr>
          <w:sz w:val="24"/>
          <w:szCs w:val="24"/>
        </w:rPr>
        <w:t>lle</w:t>
      </w:r>
      <w:r>
        <w:rPr>
          <w:sz w:val="24"/>
          <w:szCs w:val="24"/>
        </w:rPr>
        <w:t xml:space="preserve">s après l’administration de </w:t>
      </w:r>
      <w:proofErr w:type="spellStart"/>
      <w:r>
        <w:rPr>
          <w:sz w:val="24"/>
          <w:szCs w:val="24"/>
        </w:rPr>
        <w:t>tinidazole</w:t>
      </w:r>
      <w:proofErr w:type="spellEnd"/>
      <w:r>
        <w:rPr>
          <w:sz w:val="24"/>
          <w:szCs w:val="24"/>
        </w:rPr>
        <w:t xml:space="preserve"> (voir rubrique 5.3).</w:t>
      </w:r>
    </w:p>
    <w:p w14:paraId="2247D4DE" w14:textId="77777777" w:rsidR="004F75F7" w:rsidRPr="00EE32E5" w:rsidRDefault="004F75F7" w:rsidP="00373302">
      <w:pPr>
        <w:rPr>
          <w:sz w:val="24"/>
          <w:szCs w:val="24"/>
        </w:rPr>
      </w:pPr>
    </w:p>
    <w:p w14:paraId="3B63A40E" w14:textId="77777777" w:rsidR="001E592A" w:rsidRPr="00EE32E5" w:rsidRDefault="001E592A" w:rsidP="001E592A">
      <w:pPr>
        <w:suppressAutoHyphens/>
        <w:rPr>
          <w:noProof/>
          <w:sz w:val="24"/>
          <w:szCs w:val="24"/>
        </w:rPr>
      </w:pPr>
    </w:p>
    <w:p w14:paraId="789991C9" w14:textId="394B45CB" w:rsidR="001E592A" w:rsidRDefault="001E592A" w:rsidP="002615F4">
      <w:pPr>
        <w:suppressAutoHyphens/>
        <w:ind w:left="567" w:hanging="567"/>
        <w:rPr>
          <w:b/>
          <w:noProof/>
          <w:sz w:val="24"/>
          <w:szCs w:val="24"/>
        </w:rPr>
      </w:pPr>
      <w:r w:rsidRPr="00EE32E5">
        <w:rPr>
          <w:b/>
          <w:noProof/>
          <w:sz w:val="24"/>
          <w:szCs w:val="24"/>
        </w:rPr>
        <w:t>4.7</w:t>
      </w:r>
      <w:r w:rsidRPr="00EE32E5">
        <w:rPr>
          <w:b/>
          <w:noProof/>
          <w:sz w:val="24"/>
          <w:szCs w:val="24"/>
        </w:rPr>
        <w:tab/>
        <w:t>Effets sur l’aptitude à conduire des véhicules et à utiliser des machines</w:t>
      </w:r>
    </w:p>
    <w:p w14:paraId="17C16114" w14:textId="77777777" w:rsidR="004F75F7" w:rsidRPr="00EE32E5" w:rsidRDefault="004F75F7" w:rsidP="002615F4">
      <w:pPr>
        <w:suppressAutoHyphens/>
        <w:ind w:left="567" w:hanging="567"/>
        <w:rPr>
          <w:b/>
          <w:noProof/>
          <w:sz w:val="24"/>
          <w:szCs w:val="24"/>
        </w:rPr>
      </w:pPr>
    </w:p>
    <w:p w14:paraId="20B1702E" w14:textId="66E78B8B" w:rsidR="00373302" w:rsidRPr="00EE32E5" w:rsidRDefault="00373302" w:rsidP="00EE32E5">
      <w:pPr>
        <w:jc w:val="both"/>
        <w:rPr>
          <w:sz w:val="24"/>
          <w:szCs w:val="24"/>
        </w:rPr>
      </w:pPr>
      <w:r w:rsidRPr="00EE32E5">
        <w:rPr>
          <w:sz w:val="24"/>
          <w:szCs w:val="24"/>
        </w:rPr>
        <w:t xml:space="preserve">L’influence du </w:t>
      </w:r>
      <w:proofErr w:type="spellStart"/>
      <w:r w:rsidRPr="00EE32E5">
        <w:rPr>
          <w:sz w:val="24"/>
          <w:szCs w:val="24"/>
        </w:rPr>
        <w:t>tinidazole</w:t>
      </w:r>
      <w:proofErr w:type="spellEnd"/>
      <w:r w:rsidRPr="00EE32E5">
        <w:rPr>
          <w:sz w:val="24"/>
          <w:szCs w:val="24"/>
        </w:rPr>
        <w:t xml:space="preserve"> sur la capacité de conduire un véhicule ou </w:t>
      </w:r>
      <w:r w:rsidR="004F75F7">
        <w:rPr>
          <w:sz w:val="24"/>
          <w:szCs w:val="24"/>
        </w:rPr>
        <w:t>d’utiliser</w:t>
      </w:r>
      <w:r w:rsidRPr="00EE32E5">
        <w:rPr>
          <w:sz w:val="24"/>
          <w:szCs w:val="24"/>
        </w:rPr>
        <w:t xml:space="preserve"> des engins n’a pas été étudiée.</w:t>
      </w:r>
      <w:r w:rsidR="004F75F7">
        <w:rPr>
          <w:sz w:val="24"/>
          <w:szCs w:val="24"/>
        </w:rPr>
        <w:t xml:space="preserve">  </w:t>
      </w:r>
      <w:r w:rsidRPr="00EE32E5">
        <w:rPr>
          <w:sz w:val="24"/>
          <w:szCs w:val="24"/>
        </w:rPr>
        <w:t xml:space="preserve">Rien ne permet cependant de croire que le </w:t>
      </w:r>
      <w:proofErr w:type="spellStart"/>
      <w:r w:rsidRPr="00EE32E5">
        <w:rPr>
          <w:sz w:val="24"/>
          <w:szCs w:val="24"/>
        </w:rPr>
        <w:t>tinidazole</w:t>
      </w:r>
      <w:proofErr w:type="spellEnd"/>
      <w:r w:rsidRPr="00EE32E5">
        <w:rPr>
          <w:sz w:val="24"/>
          <w:szCs w:val="24"/>
        </w:rPr>
        <w:t xml:space="preserve"> puisse affecter ces facultés.</w:t>
      </w:r>
    </w:p>
    <w:p w14:paraId="16753796" w14:textId="21785BE6" w:rsidR="001E592A" w:rsidRDefault="001E592A" w:rsidP="001E592A">
      <w:pPr>
        <w:suppressAutoHyphens/>
        <w:rPr>
          <w:noProof/>
          <w:sz w:val="24"/>
          <w:szCs w:val="24"/>
        </w:rPr>
      </w:pPr>
    </w:p>
    <w:p w14:paraId="216A5AC7" w14:textId="77777777" w:rsidR="004F75F7" w:rsidRPr="00EE32E5" w:rsidRDefault="004F75F7" w:rsidP="001E592A">
      <w:pPr>
        <w:suppressAutoHyphens/>
        <w:rPr>
          <w:noProof/>
          <w:sz w:val="24"/>
          <w:szCs w:val="24"/>
        </w:rPr>
      </w:pPr>
    </w:p>
    <w:p w14:paraId="29E2200E" w14:textId="08293E11" w:rsidR="001E592A" w:rsidRDefault="00F75B4C" w:rsidP="001E592A">
      <w:pPr>
        <w:suppressAutoHyphens/>
        <w:ind w:left="567" w:hanging="567"/>
        <w:rPr>
          <w:b/>
          <w:noProof/>
          <w:sz w:val="24"/>
          <w:szCs w:val="24"/>
        </w:rPr>
      </w:pPr>
      <w:r w:rsidRPr="00EE32E5">
        <w:rPr>
          <w:b/>
          <w:noProof/>
          <w:sz w:val="24"/>
          <w:szCs w:val="24"/>
        </w:rPr>
        <w:t>4.8</w:t>
      </w:r>
      <w:r w:rsidRPr="00EE32E5">
        <w:rPr>
          <w:b/>
          <w:noProof/>
          <w:sz w:val="24"/>
          <w:szCs w:val="24"/>
        </w:rPr>
        <w:tab/>
        <w:t>Effets indésirables</w:t>
      </w:r>
    </w:p>
    <w:p w14:paraId="313EC760" w14:textId="5073865D" w:rsidR="004F75F7" w:rsidRDefault="004F75F7" w:rsidP="001E592A">
      <w:pPr>
        <w:suppressAutoHyphens/>
        <w:ind w:left="567" w:hanging="567"/>
        <w:rPr>
          <w:b/>
          <w:noProof/>
          <w:sz w:val="24"/>
          <w:szCs w:val="24"/>
        </w:rPr>
      </w:pPr>
    </w:p>
    <w:p w14:paraId="7AF68B7A" w14:textId="1BBA729A" w:rsidR="004F75F7" w:rsidRDefault="004F75F7" w:rsidP="00EE32E5">
      <w:pPr>
        <w:suppressAutoHyphens/>
        <w:jc w:val="both"/>
        <w:rPr>
          <w:bCs/>
          <w:noProof/>
          <w:sz w:val="24"/>
          <w:szCs w:val="24"/>
        </w:rPr>
      </w:pPr>
      <w:r>
        <w:rPr>
          <w:bCs/>
          <w:noProof/>
          <w:sz w:val="24"/>
          <w:szCs w:val="24"/>
        </w:rPr>
        <w:t>Les effets indésirables rapportés avec le tinidazole ont généralement été rares, légers et autolimitants.</w:t>
      </w:r>
    </w:p>
    <w:p w14:paraId="5ACB353E" w14:textId="20411185" w:rsidR="004F75F7" w:rsidRDefault="004F75F7" w:rsidP="001E592A">
      <w:pPr>
        <w:suppressAutoHyphens/>
        <w:ind w:left="567" w:hanging="567"/>
        <w:rPr>
          <w:bCs/>
          <w:noProof/>
          <w:sz w:val="24"/>
          <w:szCs w:val="24"/>
        </w:rPr>
      </w:pPr>
    </w:p>
    <w:p w14:paraId="7B49D3BC" w14:textId="5BA92F02" w:rsidR="004F75F7" w:rsidRDefault="004F75F7" w:rsidP="00EE32E5">
      <w:pPr>
        <w:suppressAutoHyphens/>
        <w:jc w:val="both"/>
        <w:rPr>
          <w:bCs/>
          <w:noProof/>
          <w:sz w:val="24"/>
          <w:szCs w:val="24"/>
        </w:rPr>
      </w:pPr>
      <w:r>
        <w:rPr>
          <w:bCs/>
          <w:noProof/>
          <w:sz w:val="24"/>
          <w:szCs w:val="24"/>
        </w:rPr>
        <w:t>Le tableau ci-desous reprend les effets indésirables identifiés lors des essais cliniques et la pharmacovigilance par système de classe d’organes Med</w:t>
      </w:r>
      <w:r w:rsidR="005F5B05">
        <w:rPr>
          <w:bCs/>
          <w:noProof/>
          <w:sz w:val="24"/>
          <w:szCs w:val="24"/>
        </w:rPr>
        <w:t xml:space="preserve">DRA et fréquence.  Au sein de chaque groupe de fréquence, les effets indésirables sont présentés suivant un ordre décroissant de gravité clinique.  </w:t>
      </w:r>
    </w:p>
    <w:p w14:paraId="047D5884" w14:textId="2029DC57" w:rsidR="005F5B05" w:rsidRDefault="005F5B05" w:rsidP="00EE32E5">
      <w:pPr>
        <w:suppressAutoHyphens/>
        <w:jc w:val="both"/>
        <w:rPr>
          <w:bCs/>
          <w:noProof/>
          <w:sz w:val="24"/>
          <w:szCs w:val="24"/>
        </w:rPr>
      </w:pPr>
      <w:r>
        <w:rPr>
          <w:bCs/>
          <w:noProof/>
          <w:sz w:val="24"/>
          <w:szCs w:val="24"/>
        </w:rPr>
        <w:lastRenderedPageBreak/>
        <w:t>Catégories de fréquence : très fréquen</w:t>
      </w:r>
      <w:r w:rsidR="00340CF6">
        <w:rPr>
          <w:bCs/>
          <w:noProof/>
          <w:sz w:val="24"/>
          <w:szCs w:val="24"/>
        </w:rPr>
        <w:t>t (≥ 1/10) ; fréquent (≥ 1/100 à</w:t>
      </w:r>
      <w:r>
        <w:rPr>
          <w:bCs/>
          <w:noProof/>
          <w:sz w:val="24"/>
          <w:szCs w:val="24"/>
        </w:rPr>
        <w:t xml:space="preserve"> ˂ 1</w:t>
      </w:r>
      <w:r w:rsidR="00340CF6">
        <w:rPr>
          <w:bCs/>
          <w:noProof/>
          <w:sz w:val="24"/>
          <w:szCs w:val="24"/>
        </w:rPr>
        <w:t>/10) ; peu fréquent (≥ 1/1 000  à ˂ 1/100) ; rare (≥ 1/10 000  à</w:t>
      </w:r>
      <w:r>
        <w:rPr>
          <w:bCs/>
          <w:noProof/>
          <w:sz w:val="24"/>
          <w:szCs w:val="24"/>
        </w:rPr>
        <w:t xml:space="preserve"> ˂ 1/1 000) ; très rare (˂ 1/10 000) ; fréquence indéterminée (ne peut être estimée sur la base des données disponibles).</w:t>
      </w:r>
    </w:p>
    <w:p w14:paraId="779B4E76" w14:textId="1C1E084B" w:rsidR="005F5B05" w:rsidRDefault="006549DE" w:rsidP="00EE32E5">
      <w:pPr>
        <w:rPr>
          <w:bCs/>
          <w:noProof/>
          <w:sz w:val="24"/>
          <w:szCs w:val="24"/>
        </w:rPr>
      </w:pPr>
      <w:r>
        <w:rPr>
          <w:bCs/>
          <w:noProof/>
          <w:sz w:val="24"/>
          <w:szCs w:val="24"/>
        </w:rPr>
        <w:br w:type="page"/>
      </w:r>
    </w:p>
    <w:tbl>
      <w:tblPr>
        <w:tblStyle w:val="Grilledutableau"/>
        <w:tblW w:w="9918" w:type="dxa"/>
        <w:tblLook w:val="04A0" w:firstRow="1" w:lastRow="0" w:firstColumn="1" w:lastColumn="0" w:noHBand="0" w:noVBand="1"/>
      </w:tblPr>
      <w:tblGrid>
        <w:gridCol w:w="2105"/>
        <w:gridCol w:w="1596"/>
        <w:gridCol w:w="1681"/>
        <w:gridCol w:w="1984"/>
        <w:gridCol w:w="2552"/>
      </w:tblGrid>
      <w:tr w:rsidR="005F5B05" w:rsidRPr="003A2E4C" w14:paraId="2C9D372B" w14:textId="77777777" w:rsidTr="00EE32E5">
        <w:tc>
          <w:tcPr>
            <w:tcW w:w="2105" w:type="dxa"/>
          </w:tcPr>
          <w:p w14:paraId="4788BA02" w14:textId="21280973" w:rsidR="005F5B05" w:rsidRPr="00EE32E5" w:rsidRDefault="005F5B05" w:rsidP="005F5B05">
            <w:pPr>
              <w:suppressAutoHyphens/>
              <w:rPr>
                <w:b/>
                <w:noProof/>
                <w:szCs w:val="22"/>
              </w:rPr>
            </w:pPr>
            <w:r w:rsidRPr="00EE32E5">
              <w:rPr>
                <w:b/>
                <w:noProof/>
                <w:szCs w:val="22"/>
              </w:rPr>
              <w:lastRenderedPageBreak/>
              <w:t>Classe de systèmes d’organes</w:t>
            </w:r>
          </w:p>
        </w:tc>
        <w:tc>
          <w:tcPr>
            <w:tcW w:w="1596" w:type="dxa"/>
          </w:tcPr>
          <w:p w14:paraId="6354AFA6" w14:textId="4730EFCD" w:rsidR="005F5B05" w:rsidRPr="00EE32E5" w:rsidRDefault="005F5B05" w:rsidP="00EE32E5">
            <w:pPr>
              <w:suppressAutoHyphens/>
              <w:jc w:val="center"/>
              <w:rPr>
                <w:b/>
                <w:noProof/>
                <w:szCs w:val="22"/>
              </w:rPr>
            </w:pPr>
            <w:r w:rsidRPr="00EE32E5">
              <w:rPr>
                <w:b/>
                <w:noProof/>
                <w:szCs w:val="22"/>
              </w:rPr>
              <w:t>Frequent</w:t>
            </w:r>
            <w:r w:rsidRPr="00EE32E5">
              <w:rPr>
                <w:b/>
                <w:noProof/>
                <w:szCs w:val="22"/>
              </w:rPr>
              <w:br/>
              <w:t xml:space="preserve">(≥ 1/100, </w:t>
            </w:r>
            <w:r w:rsidR="006549DE" w:rsidRPr="00EE32E5">
              <w:rPr>
                <w:b/>
                <w:noProof/>
                <w:szCs w:val="22"/>
              </w:rPr>
              <w:br/>
            </w:r>
            <w:r w:rsidRPr="00EE32E5">
              <w:rPr>
                <w:b/>
                <w:noProof/>
                <w:szCs w:val="22"/>
              </w:rPr>
              <w:t>˂ 1/10)</w:t>
            </w:r>
          </w:p>
        </w:tc>
        <w:tc>
          <w:tcPr>
            <w:tcW w:w="1681" w:type="dxa"/>
          </w:tcPr>
          <w:p w14:paraId="42E353BD" w14:textId="27BD7DAB" w:rsidR="005F5B05" w:rsidRPr="00EE32E5" w:rsidRDefault="005F5B05" w:rsidP="00EE32E5">
            <w:pPr>
              <w:suppressAutoHyphens/>
              <w:jc w:val="center"/>
              <w:rPr>
                <w:b/>
                <w:noProof/>
                <w:szCs w:val="22"/>
              </w:rPr>
            </w:pPr>
            <w:r w:rsidRPr="00EE32E5">
              <w:rPr>
                <w:b/>
                <w:noProof/>
                <w:szCs w:val="22"/>
              </w:rPr>
              <w:t xml:space="preserve">Peu fréquent </w:t>
            </w:r>
            <w:r w:rsidR="003A2E4C" w:rsidRPr="00EE32E5">
              <w:rPr>
                <w:b/>
                <w:noProof/>
                <w:szCs w:val="22"/>
              </w:rPr>
              <w:t>(≥ 1/1 000 ;</w:t>
            </w:r>
            <w:r w:rsidR="006549DE" w:rsidRPr="00EE32E5">
              <w:rPr>
                <w:b/>
                <w:noProof/>
                <w:szCs w:val="22"/>
              </w:rPr>
              <w:br/>
            </w:r>
            <w:r w:rsidR="003A2E4C" w:rsidRPr="00EE32E5">
              <w:rPr>
                <w:b/>
                <w:noProof/>
                <w:szCs w:val="22"/>
              </w:rPr>
              <w:t xml:space="preserve"> ˂ 1/100)</w:t>
            </w:r>
          </w:p>
        </w:tc>
        <w:tc>
          <w:tcPr>
            <w:tcW w:w="1984" w:type="dxa"/>
          </w:tcPr>
          <w:p w14:paraId="26104ABC" w14:textId="6994F10C" w:rsidR="005F5B05" w:rsidRPr="00EE32E5" w:rsidRDefault="003A2E4C" w:rsidP="00EE32E5">
            <w:pPr>
              <w:suppressAutoHyphens/>
              <w:jc w:val="center"/>
              <w:rPr>
                <w:b/>
                <w:noProof/>
                <w:szCs w:val="22"/>
              </w:rPr>
            </w:pPr>
            <w:r w:rsidRPr="00EE32E5">
              <w:rPr>
                <w:b/>
                <w:noProof/>
                <w:szCs w:val="22"/>
              </w:rPr>
              <w:t>Rare (≥ 1/10 000 ; ˂ 1/1 000)</w:t>
            </w:r>
          </w:p>
        </w:tc>
        <w:tc>
          <w:tcPr>
            <w:tcW w:w="2552" w:type="dxa"/>
          </w:tcPr>
          <w:p w14:paraId="5A0FD64D" w14:textId="5B7BA232" w:rsidR="005F5B05" w:rsidRPr="00EE32E5" w:rsidRDefault="003A2E4C" w:rsidP="00EE32E5">
            <w:pPr>
              <w:suppressAutoHyphens/>
              <w:jc w:val="center"/>
              <w:rPr>
                <w:b/>
                <w:noProof/>
                <w:szCs w:val="22"/>
              </w:rPr>
            </w:pPr>
            <w:r w:rsidRPr="00EE32E5">
              <w:rPr>
                <w:b/>
                <w:noProof/>
                <w:szCs w:val="22"/>
              </w:rPr>
              <w:t>Fréquence indéterminée (ne peut être estimée sur la base des données disponibles)</w:t>
            </w:r>
          </w:p>
        </w:tc>
      </w:tr>
      <w:tr w:rsidR="005F5B05" w14:paraId="7814AB77" w14:textId="77777777" w:rsidTr="00EE32E5">
        <w:tc>
          <w:tcPr>
            <w:tcW w:w="2105" w:type="dxa"/>
          </w:tcPr>
          <w:p w14:paraId="265A3561" w14:textId="477FAC6A" w:rsidR="005F5B05" w:rsidRDefault="00D71866" w:rsidP="005F5B05">
            <w:pPr>
              <w:suppressAutoHyphens/>
              <w:rPr>
                <w:bCs/>
                <w:noProof/>
                <w:sz w:val="24"/>
                <w:szCs w:val="24"/>
              </w:rPr>
            </w:pPr>
            <w:r>
              <w:rPr>
                <w:bCs/>
                <w:noProof/>
                <w:sz w:val="24"/>
                <w:szCs w:val="24"/>
              </w:rPr>
              <w:t>Affections hématologiques et du système lymphatique</w:t>
            </w:r>
          </w:p>
        </w:tc>
        <w:tc>
          <w:tcPr>
            <w:tcW w:w="1596" w:type="dxa"/>
          </w:tcPr>
          <w:p w14:paraId="6DBE8C06" w14:textId="77777777" w:rsidR="005F5B05" w:rsidRDefault="005F5B05" w:rsidP="005F5B05">
            <w:pPr>
              <w:suppressAutoHyphens/>
              <w:rPr>
                <w:bCs/>
                <w:noProof/>
                <w:sz w:val="24"/>
                <w:szCs w:val="24"/>
              </w:rPr>
            </w:pPr>
          </w:p>
        </w:tc>
        <w:tc>
          <w:tcPr>
            <w:tcW w:w="1681" w:type="dxa"/>
          </w:tcPr>
          <w:p w14:paraId="420EAE74" w14:textId="77777777" w:rsidR="005F5B05" w:rsidRDefault="005F5B05" w:rsidP="005F5B05">
            <w:pPr>
              <w:suppressAutoHyphens/>
              <w:rPr>
                <w:bCs/>
                <w:noProof/>
                <w:sz w:val="24"/>
                <w:szCs w:val="24"/>
              </w:rPr>
            </w:pPr>
          </w:p>
        </w:tc>
        <w:tc>
          <w:tcPr>
            <w:tcW w:w="1984" w:type="dxa"/>
          </w:tcPr>
          <w:p w14:paraId="48475DC0" w14:textId="77777777" w:rsidR="005F5B05" w:rsidRDefault="005F5B05" w:rsidP="005F5B05">
            <w:pPr>
              <w:suppressAutoHyphens/>
              <w:rPr>
                <w:bCs/>
                <w:noProof/>
                <w:sz w:val="24"/>
                <w:szCs w:val="24"/>
              </w:rPr>
            </w:pPr>
          </w:p>
        </w:tc>
        <w:tc>
          <w:tcPr>
            <w:tcW w:w="2552" w:type="dxa"/>
          </w:tcPr>
          <w:p w14:paraId="74E45EC5" w14:textId="7581E767" w:rsidR="005F5B05" w:rsidRDefault="00D71866" w:rsidP="005F5B05">
            <w:pPr>
              <w:suppressAutoHyphens/>
              <w:rPr>
                <w:bCs/>
                <w:noProof/>
                <w:sz w:val="24"/>
                <w:szCs w:val="24"/>
              </w:rPr>
            </w:pPr>
            <w:r>
              <w:rPr>
                <w:bCs/>
                <w:noProof/>
                <w:sz w:val="24"/>
                <w:szCs w:val="24"/>
              </w:rPr>
              <w:t>Leucopénie</w:t>
            </w:r>
          </w:p>
        </w:tc>
      </w:tr>
      <w:tr w:rsidR="005F5B05" w14:paraId="4D74F824" w14:textId="77777777" w:rsidTr="00EE32E5">
        <w:tc>
          <w:tcPr>
            <w:tcW w:w="2105" w:type="dxa"/>
          </w:tcPr>
          <w:p w14:paraId="4C02F6D4" w14:textId="74514D07" w:rsidR="005F5B05" w:rsidRDefault="00D71866" w:rsidP="005F5B05">
            <w:pPr>
              <w:suppressAutoHyphens/>
              <w:rPr>
                <w:bCs/>
                <w:noProof/>
                <w:sz w:val="24"/>
                <w:szCs w:val="24"/>
              </w:rPr>
            </w:pPr>
            <w:r>
              <w:rPr>
                <w:bCs/>
                <w:noProof/>
                <w:sz w:val="24"/>
                <w:szCs w:val="24"/>
              </w:rPr>
              <w:t>Affections du système immunitaire</w:t>
            </w:r>
          </w:p>
        </w:tc>
        <w:tc>
          <w:tcPr>
            <w:tcW w:w="1596" w:type="dxa"/>
          </w:tcPr>
          <w:p w14:paraId="28C413EF" w14:textId="77777777" w:rsidR="005F5B05" w:rsidRDefault="005F5B05" w:rsidP="005F5B05">
            <w:pPr>
              <w:suppressAutoHyphens/>
              <w:rPr>
                <w:bCs/>
                <w:noProof/>
                <w:sz w:val="24"/>
                <w:szCs w:val="24"/>
              </w:rPr>
            </w:pPr>
          </w:p>
        </w:tc>
        <w:tc>
          <w:tcPr>
            <w:tcW w:w="1681" w:type="dxa"/>
          </w:tcPr>
          <w:p w14:paraId="053D8767" w14:textId="77777777" w:rsidR="005F5B05" w:rsidRDefault="005F5B05" w:rsidP="005F5B05">
            <w:pPr>
              <w:suppressAutoHyphens/>
              <w:rPr>
                <w:bCs/>
                <w:noProof/>
                <w:sz w:val="24"/>
                <w:szCs w:val="24"/>
              </w:rPr>
            </w:pPr>
          </w:p>
        </w:tc>
        <w:tc>
          <w:tcPr>
            <w:tcW w:w="1984" w:type="dxa"/>
          </w:tcPr>
          <w:p w14:paraId="24802A26" w14:textId="77777777" w:rsidR="005F5B05" w:rsidRDefault="005F5B05" w:rsidP="005F5B05">
            <w:pPr>
              <w:suppressAutoHyphens/>
              <w:rPr>
                <w:bCs/>
                <w:noProof/>
                <w:sz w:val="24"/>
                <w:szCs w:val="24"/>
              </w:rPr>
            </w:pPr>
          </w:p>
        </w:tc>
        <w:tc>
          <w:tcPr>
            <w:tcW w:w="2552" w:type="dxa"/>
          </w:tcPr>
          <w:p w14:paraId="63DDC254" w14:textId="5686A70B" w:rsidR="005F5B05" w:rsidRDefault="00D71866" w:rsidP="005F5B05">
            <w:pPr>
              <w:suppressAutoHyphens/>
              <w:rPr>
                <w:bCs/>
                <w:noProof/>
                <w:sz w:val="24"/>
                <w:szCs w:val="24"/>
              </w:rPr>
            </w:pPr>
            <w:r>
              <w:rPr>
                <w:bCs/>
                <w:noProof/>
                <w:sz w:val="24"/>
                <w:szCs w:val="24"/>
              </w:rPr>
              <w:t>Choc anaphylactique, hypersensibilité médicamenteuse</w:t>
            </w:r>
          </w:p>
        </w:tc>
      </w:tr>
      <w:tr w:rsidR="005F5B05" w14:paraId="76DBD76C" w14:textId="77777777" w:rsidTr="00EE32E5">
        <w:tc>
          <w:tcPr>
            <w:tcW w:w="2105" w:type="dxa"/>
          </w:tcPr>
          <w:p w14:paraId="1B605EF0" w14:textId="553C4E41" w:rsidR="005F5B05" w:rsidRDefault="00D71866" w:rsidP="005F5B05">
            <w:pPr>
              <w:suppressAutoHyphens/>
              <w:rPr>
                <w:bCs/>
                <w:noProof/>
                <w:sz w:val="24"/>
                <w:szCs w:val="24"/>
              </w:rPr>
            </w:pPr>
            <w:r>
              <w:rPr>
                <w:bCs/>
                <w:noProof/>
                <w:sz w:val="24"/>
                <w:szCs w:val="24"/>
              </w:rPr>
              <w:t>Troubles du métabolisme et de la nutrition</w:t>
            </w:r>
          </w:p>
        </w:tc>
        <w:tc>
          <w:tcPr>
            <w:tcW w:w="1596" w:type="dxa"/>
          </w:tcPr>
          <w:p w14:paraId="5B26D934" w14:textId="26C5A692" w:rsidR="005F5B05" w:rsidRDefault="00D71866" w:rsidP="005F5B05">
            <w:pPr>
              <w:suppressAutoHyphens/>
              <w:rPr>
                <w:bCs/>
                <w:noProof/>
                <w:sz w:val="24"/>
                <w:szCs w:val="24"/>
              </w:rPr>
            </w:pPr>
            <w:r>
              <w:rPr>
                <w:bCs/>
                <w:noProof/>
                <w:sz w:val="24"/>
                <w:szCs w:val="24"/>
              </w:rPr>
              <w:t>Appétit diminué</w:t>
            </w:r>
          </w:p>
        </w:tc>
        <w:tc>
          <w:tcPr>
            <w:tcW w:w="1681" w:type="dxa"/>
          </w:tcPr>
          <w:p w14:paraId="7C678CAF" w14:textId="77777777" w:rsidR="005F5B05" w:rsidRDefault="005F5B05" w:rsidP="005F5B05">
            <w:pPr>
              <w:suppressAutoHyphens/>
              <w:rPr>
                <w:bCs/>
                <w:noProof/>
                <w:sz w:val="24"/>
                <w:szCs w:val="24"/>
              </w:rPr>
            </w:pPr>
          </w:p>
        </w:tc>
        <w:tc>
          <w:tcPr>
            <w:tcW w:w="1984" w:type="dxa"/>
          </w:tcPr>
          <w:p w14:paraId="2B8D0BE3" w14:textId="77777777" w:rsidR="005F5B05" w:rsidRDefault="005F5B05" w:rsidP="005F5B05">
            <w:pPr>
              <w:suppressAutoHyphens/>
              <w:rPr>
                <w:bCs/>
                <w:noProof/>
                <w:sz w:val="24"/>
                <w:szCs w:val="24"/>
              </w:rPr>
            </w:pPr>
          </w:p>
        </w:tc>
        <w:tc>
          <w:tcPr>
            <w:tcW w:w="2552" w:type="dxa"/>
          </w:tcPr>
          <w:p w14:paraId="5D0DD61C" w14:textId="77777777" w:rsidR="005F5B05" w:rsidRDefault="005F5B05" w:rsidP="005F5B05">
            <w:pPr>
              <w:suppressAutoHyphens/>
              <w:rPr>
                <w:bCs/>
                <w:noProof/>
                <w:sz w:val="24"/>
                <w:szCs w:val="24"/>
              </w:rPr>
            </w:pPr>
          </w:p>
        </w:tc>
      </w:tr>
      <w:tr w:rsidR="005F5B05" w14:paraId="4C6AB5C2" w14:textId="77777777" w:rsidTr="00EE32E5">
        <w:tc>
          <w:tcPr>
            <w:tcW w:w="2105" w:type="dxa"/>
          </w:tcPr>
          <w:p w14:paraId="6AE42F9C" w14:textId="75311CD1" w:rsidR="005F5B05" w:rsidRDefault="00D71866" w:rsidP="005F5B05">
            <w:pPr>
              <w:suppressAutoHyphens/>
              <w:rPr>
                <w:bCs/>
                <w:noProof/>
                <w:sz w:val="24"/>
                <w:szCs w:val="24"/>
              </w:rPr>
            </w:pPr>
            <w:r>
              <w:rPr>
                <w:bCs/>
                <w:noProof/>
                <w:sz w:val="24"/>
                <w:szCs w:val="24"/>
              </w:rPr>
              <w:t>Affections du système nerveux</w:t>
            </w:r>
          </w:p>
        </w:tc>
        <w:tc>
          <w:tcPr>
            <w:tcW w:w="1596" w:type="dxa"/>
          </w:tcPr>
          <w:p w14:paraId="4F036ABB" w14:textId="114CFA55" w:rsidR="005F5B05" w:rsidRDefault="00D71866" w:rsidP="005F5B05">
            <w:pPr>
              <w:suppressAutoHyphens/>
              <w:rPr>
                <w:bCs/>
                <w:noProof/>
                <w:sz w:val="24"/>
                <w:szCs w:val="24"/>
              </w:rPr>
            </w:pPr>
            <w:r>
              <w:rPr>
                <w:bCs/>
                <w:noProof/>
                <w:sz w:val="24"/>
                <w:szCs w:val="24"/>
              </w:rPr>
              <w:t>Céphalée</w:t>
            </w:r>
          </w:p>
        </w:tc>
        <w:tc>
          <w:tcPr>
            <w:tcW w:w="1681" w:type="dxa"/>
          </w:tcPr>
          <w:p w14:paraId="512279E6" w14:textId="77777777" w:rsidR="005F5B05" w:rsidRDefault="005F5B05" w:rsidP="005F5B05">
            <w:pPr>
              <w:suppressAutoHyphens/>
              <w:rPr>
                <w:bCs/>
                <w:noProof/>
                <w:sz w:val="24"/>
                <w:szCs w:val="24"/>
              </w:rPr>
            </w:pPr>
          </w:p>
        </w:tc>
        <w:tc>
          <w:tcPr>
            <w:tcW w:w="1984" w:type="dxa"/>
          </w:tcPr>
          <w:p w14:paraId="32AB50F6" w14:textId="77777777" w:rsidR="005F5B05" w:rsidRDefault="005F5B05" w:rsidP="005F5B05">
            <w:pPr>
              <w:suppressAutoHyphens/>
              <w:rPr>
                <w:bCs/>
                <w:noProof/>
                <w:sz w:val="24"/>
                <w:szCs w:val="24"/>
              </w:rPr>
            </w:pPr>
          </w:p>
        </w:tc>
        <w:tc>
          <w:tcPr>
            <w:tcW w:w="2552" w:type="dxa"/>
          </w:tcPr>
          <w:p w14:paraId="714DB020" w14:textId="48D84C51" w:rsidR="005F5B05" w:rsidRDefault="00D71866" w:rsidP="005F5B05">
            <w:pPr>
              <w:suppressAutoHyphens/>
              <w:rPr>
                <w:bCs/>
                <w:noProof/>
                <w:sz w:val="24"/>
                <w:szCs w:val="24"/>
              </w:rPr>
            </w:pPr>
            <w:r>
              <w:rPr>
                <w:bCs/>
                <w:noProof/>
                <w:sz w:val="24"/>
                <w:szCs w:val="24"/>
              </w:rPr>
              <w:t>Convulsions, neuropathie périphérique, hypoesthésie, trouble sensoriel, ataxie, sensation vertigineuse, dysgueusie</w:t>
            </w:r>
          </w:p>
        </w:tc>
      </w:tr>
      <w:tr w:rsidR="005F5B05" w14:paraId="7F3B593F" w14:textId="77777777" w:rsidTr="00EE32E5">
        <w:tc>
          <w:tcPr>
            <w:tcW w:w="2105" w:type="dxa"/>
          </w:tcPr>
          <w:p w14:paraId="34CBB050" w14:textId="17BE12E3" w:rsidR="005F5B05" w:rsidRDefault="00D71866" w:rsidP="005F5B05">
            <w:pPr>
              <w:suppressAutoHyphens/>
              <w:rPr>
                <w:bCs/>
                <w:noProof/>
                <w:sz w:val="24"/>
                <w:szCs w:val="24"/>
              </w:rPr>
            </w:pPr>
            <w:r>
              <w:rPr>
                <w:bCs/>
                <w:noProof/>
                <w:sz w:val="24"/>
                <w:szCs w:val="24"/>
              </w:rPr>
              <w:t xml:space="preserve">Affections de l’oreille et du labyrinthe </w:t>
            </w:r>
          </w:p>
        </w:tc>
        <w:tc>
          <w:tcPr>
            <w:tcW w:w="1596" w:type="dxa"/>
          </w:tcPr>
          <w:p w14:paraId="0537C8EE" w14:textId="50F75E7D" w:rsidR="005F5B05" w:rsidRDefault="00D71866" w:rsidP="005F5B05">
            <w:pPr>
              <w:suppressAutoHyphens/>
              <w:rPr>
                <w:bCs/>
                <w:noProof/>
                <w:sz w:val="24"/>
                <w:szCs w:val="24"/>
              </w:rPr>
            </w:pPr>
            <w:r>
              <w:rPr>
                <w:bCs/>
                <w:noProof/>
                <w:sz w:val="24"/>
                <w:szCs w:val="24"/>
              </w:rPr>
              <w:t>Vertige</w:t>
            </w:r>
          </w:p>
        </w:tc>
        <w:tc>
          <w:tcPr>
            <w:tcW w:w="1681" w:type="dxa"/>
          </w:tcPr>
          <w:p w14:paraId="4823FA19" w14:textId="77777777" w:rsidR="005F5B05" w:rsidRDefault="005F5B05" w:rsidP="005F5B05">
            <w:pPr>
              <w:suppressAutoHyphens/>
              <w:rPr>
                <w:bCs/>
                <w:noProof/>
                <w:sz w:val="24"/>
                <w:szCs w:val="24"/>
              </w:rPr>
            </w:pPr>
          </w:p>
        </w:tc>
        <w:tc>
          <w:tcPr>
            <w:tcW w:w="1984" w:type="dxa"/>
          </w:tcPr>
          <w:p w14:paraId="273E6E4B" w14:textId="77777777" w:rsidR="005F5B05" w:rsidRDefault="005F5B05" w:rsidP="005F5B05">
            <w:pPr>
              <w:suppressAutoHyphens/>
              <w:rPr>
                <w:bCs/>
                <w:noProof/>
                <w:sz w:val="24"/>
                <w:szCs w:val="24"/>
              </w:rPr>
            </w:pPr>
          </w:p>
        </w:tc>
        <w:tc>
          <w:tcPr>
            <w:tcW w:w="2552" w:type="dxa"/>
          </w:tcPr>
          <w:p w14:paraId="211A0B97" w14:textId="77777777" w:rsidR="005F5B05" w:rsidRDefault="005F5B05" w:rsidP="005F5B05">
            <w:pPr>
              <w:suppressAutoHyphens/>
              <w:rPr>
                <w:bCs/>
                <w:noProof/>
                <w:sz w:val="24"/>
                <w:szCs w:val="24"/>
              </w:rPr>
            </w:pPr>
          </w:p>
        </w:tc>
      </w:tr>
      <w:tr w:rsidR="005F5B05" w14:paraId="55845F1E" w14:textId="77777777" w:rsidTr="00EE32E5">
        <w:tc>
          <w:tcPr>
            <w:tcW w:w="2105" w:type="dxa"/>
          </w:tcPr>
          <w:p w14:paraId="22DBCB56" w14:textId="2B91A90C" w:rsidR="005F5B05" w:rsidRDefault="00D71866" w:rsidP="005F5B05">
            <w:pPr>
              <w:suppressAutoHyphens/>
              <w:rPr>
                <w:bCs/>
                <w:noProof/>
                <w:sz w:val="24"/>
                <w:szCs w:val="24"/>
              </w:rPr>
            </w:pPr>
            <w:r>
              <w:rPr>
                <w:bCs/>
                <w:noProof/>
                <w:sz w:val="24"/>
                <w:szCs w:val="24"/>
              </w:rPr>
              <w:t>Troubles vasculaires</w:t>
            </w:r>
          </w:p>
        </w:tc>
        <w:tc>
          <w:tcPr>
            <w:tcW w:w="1596" w:type="dxa"/>
          </w:tcPr>
          <w:p w14:paraId="6514690C" w14:textId="77777777" w:rsidR="005F5B05" w:rsidRDefault="005F5B05" w:rsidP="005F5B05">
            <w:pPr>
              <w:suppressAutoHyphens/>
              <w:rPr>
                <w:bCs/>
                <w:noProof/>
                <w:sz w:val="24"/>
                <w:szCs w:val="24"/>
              </w:rPr>
            </w:pPr>
          </w:p>
        </w:tc>
        <w:tc>
          <w:tcPr>
            <w:tcW w:w="1681" w:type="dxa"/>
          </w:tcPr>
          <w:p w14:paraId="5B0EE426" w14:textId="77777777" w:rsidR="005F5B05" w:rsidRDefault="005F5B05" w:rsidP="005F5B05">
            <w:pPr>
              <w:suppressAutoHyphens/>
              <w:rPr>
                <w:bCs/>
                <w:noProof/>
                <w:sz w:val="24"/>
                <w:szCs w:val="24"/>
              </w:rPr>
            </w:pPr>
          </w:p>
        </w:tc>
        <w:tc>
          <w:tcPr>
            <w:tcW w:w="1984" w:type="dxa"/>
          </w:tcPr>
          <w:p w14:paraId="65536A22" w14:textId="77777777" w:rsidR="005F5B05" w:rsidRDefault="005F5B05" w:rsidP="005F5B05">
            <w:pPr>
              <w:suppressAutoHyphens/>
              <w:rPr>
                <w:bCs/>
                <w:noProof/>
                <w:sz w:val="24"/>
                <w:szCs w:val="24"/>
              </w:rPr>
            </w:pPr>
          </w:p>
        </w:tc>
        <w:tc>
          <w:tcPr>
            <w:tcW w:w="2552" w:type="dxa"/>
          </w:tcPr>
          <w:p w14:paraId="4C1B7C82" w14:textId="59E7C631" w:rsidR="005F5B05" w:rsidRDefault="00D71866" w:rsidP="005F5B05">
            <w:pPr>
              <w:suppressAutoHyphens/>
              <w:rPr>
                <w:bCs/>
                <w:noProof/>
                <w:sz w:val="24"/>
                <w:szCs w:val="24"/>
              </w:rPr>
            </w:pPr>
            <w:r>
              <w:rPr>
                <w:bCs/>
                <w:noProof/>
                <w:sz w:val="24"/>
                <w:szCs w:val="24"/>
              </w:rPr>
              <w:t>Bouffée congestive</w:t>
            </w:r>
          </w:p>
        </w:tc>
      </w:tr>
      <w:tr w:rsidR="005F5B05" w14:paraId="0E57CEE5" w14:textId="77777777" w:rsidTr="00EE32E5">
        <w:tc>
          <w:tcPr>
            <w:tcW w:w="2105" w:type="dxa"/>
          </w:tcPr>
          <w:p w14:paraId="5241DE36" w14:textId="114F5865" w:rsidR="005F5B05" w:rsidRDefault="00D71866" w:rsidP="005F5B05">
            <w:pPr>
              <w:suppressAutoHyphens/>
              <w:rPr>
                <w:bCs/>
                <w:noProof/>
                <w:sz w:val="24"/>
                <w:szCs w:val="24"/>
              </w:rPr>
            </w:pPr>
            <w:r>
              <w:rPr>
                <w:bCs/>
                <w:noProof/>
                <w:sz w:val="24"/>
                <w:szCs w:val="24"/>
              </w:rPr>
              <w:t>Affections gastro-intestinales</w:t>
            </w:r>
          </w:p>
        </w:tc>
        <w:tc>
          <w:tcPr>
            <w:tcW w:w="1596" w:type="dxa"/>
          </w:tcPr>
          <w:p w14:paraId="6D53A131" w14:textId="77777777" w:rsidR="005F5B05" w:rsidRDefault="00D71866" w:rsidP="005F5B05">
            <w:pPr>
              <w:suppressAutoHyphens/>
              <w:rPr>
                <w:bCs/>
                <w:noProof/>
                <w:sz w:val="24"/>
                <w:szCs w:val="24"/>
              </w:rPr>
            </w:pPr>
            <w:r>
              <w:rPr>
                <w:bCs/>
                <w:noProof/>
                <w:sz w:val="24"/>
                <w:szCs w:val="24"/>
              </w:rPr>
              <w:t>Vomissement,</w:t>
            </w:r>
          </w:p>
          <w:p w14:paraId="43F68F10" w14:textId="6D2F98E3" w:rsidR="00D71866" w:rsidRDefault="00B958F6" w:rsidP="005F5B05">
            <w:pPr>
              <w:suppressAutoHyphens/>
              <w:rPr>
                <w:bCs/>
                <w:noProof/>
                <w:sz w:val="24"/>
                <w:szCs w:val="24"/>
              </w:rPr>
            </w:pPr>
            <w:r>
              <w:rPr>
                <w:bCs/>
                <w:noProof/>
                <w:sz w:val="24"/>
                <w:szCs w:val="24"/>
              </w:rPr>
              <w:t>d</w:t>
            </w:r>
            <w:r w:rsidR="00D71866">
              <w:rPr>
                <w:bCs/>
                <w:noProof/>
                <w:sz w:val="24"/>
                <w:szCs w:val="24"/>
              </w:rPr>
              <w:t>iarrhée, nausées, douleur abdominale</w:t>
            </w:r>
          </w:p>
        </w:tc>
        <w:tc>
          <w:tcPr>
            <w:tcW w:w="1681" w:type="dxa"/>
          </w:tcPr>
          <w:p w14:paraId="64DB43A9" w14:textId="77777777" w:rsidR="005F5B05" w:rsidRDefault="005F5B05" w:rsidP="005F5B05">
            <w:pPr>
              <w:suppressAutoHyphens/>
              <w:rPr>
                <w:bCs/>
                <w:noProof/>
                <w:sz w:val="24"/>
                <w:szCs w:val="24"/>
              </w:rPr>
            </w:pPr>
          </w:p>
        </w:tc>
        <w:tc>
          <w:tcPr>
            <w:tcW w:w="1984" w:type="dxa"/>
          </w:tcPr>
          <w:p w14:paraId="4ABF84FC" w14:textId="77777777" w:rsidR="005F5B05" w:rsidRDefault="005F5B05" w:rsidP="005F5B05">
            <w:pPr>
              <w:suppressAutoHyphens/>
              <w:rPr>
                <w:bCs/>
                <w:noProof/>
                <w:sz w:val="24"/>
                <w:szCs w:val="24"/>
              </w:rPr>
            </w:pPr>
          </w:p>
        </w:tc>
        <w:tc>
          <w:tcPr>
            <w:tcW w:w="2552" w:type="dxa"/>
          </w:tcPr>
          <w:p w14:paraId="305D822D" w14:textId="55E4C430" w:rsidR="005F5B05" w:rsidRDefault="00D71866" w:rsidP="005F5B05">
            <w:pPr>
              <w:suppressAutoHyphens/>
              <w:rPr>
                <w:bCs/>
                <w:noProof/>
                <w:sz w:val="24"/>
                <w:szCs w:val="24"/>
              </w:rPr>
            </w:pPr>
            <w:r>
              <w:rPr>
                <w:bCs/>
                <w:noProof/>
                <w:sz w:val="24"/>
                <w:szCs w:val="24"/>
              </w:rPr>
              <w:t>Glossite, stomatite, décoloration de la langue</w:t>
            </w:r>
          </w:p>
        </w:tc>
      </w:tr>
      <w:tr w:rsidR="00D71866" w14:paraId="4C851A44" w14:textId="77777777" w:rsidTr="00EE32E5">
        <w:tc>
          <w:tcPr>
            <w:tcW w:w="2105" w:type="dxa"/>
          </w:tcPr>
          <w:p w14:paraId="4E9ABCBD" w14:textId="190EAD8F" w:rsidR="00D71866" w:rsidRDefault="00D71866" w:rsidP="005F5B05">
            <w:pPr>
              <w:suppressAutoHyphens/>
              <w:rPr>
                <w:bCs/>
                <w:noProof/>
                <w:sz w:val="24"/>
                <w:szCs w:val="24"/>
              </w:rPr>
            </w:pPr>
            <w:r>
              <w:rPr>
                <w:bCs/>
                <w:noProof/>
                <w:sz w:val="24"/>
                <w:szCs w:val="24"/>
              </w:rPr>
              <w:t>Affections de la peau et du tissu sous-cutané</w:t>
            </w:r>
          </w:p>
        </w:tc>
        <w:tc>
          <w:tcPr>
            <w:tcW w:w="1596" w:type="dxa"/>
          </w:tcPr>
          <w:p w14:paraId="21476CBD" w14:textId="2152A4C6" w:rsidR="00D71866" w:rsidRDefault="00D71866" w:rsidP="005F5B05">
            <w:pPr>
              <w:suppressAutoHyphens/>
              <w:rPr>
                <w:bCs/>
                <w:noProof/>
                <w:sz w:val="24"/>
                <w:szCs w:val="24"/>
              </w:rPr>
            </w:pPr>
            <w:r>
              <w:rPr>
                <w:bCs/>
                <w:noProof/>
                <w:sz w:val="24"/>
                <w:szCs w:val="24"/>
              </w:rPr>
              <w:t>Dermatite allergique, prurit</w:t>
            </w:r>
          </w:p>
        </w:tc>
        <w:tc>
          <w:tcPr>
            <w:tcW w:w="1681" w:type="dxa"/>
          </w:tcPr>
          <w:p w14:paraId="4C234C7A" w14:textId="77777777" w:rsidR="00D71866" w:rsidRDefault="00D71866" w:rsidP="005F5B05">
            <w:pPr>
              <w:suppressAutoHyphens/>
              <w:rPr>
                <w:bCs/>
                <w:noProof/>
                <w:sz w:val="24"/>
                <w:szCs w:val="24"/>
              </w:rPr>
            </w:pPr>
          </w:p>
        </w:tc>
        <w:tc>
          <w:tcPr>
            <w:tcW w:w="1984" w:type="dxa"/>
          </w:tcPr>
          <w:p w14:paraId="0139B88B" w14:textId="6B983093" w:rsidR="00D71866" w:rsidRDefault="00D71866" w:rsidP="005F5B05">
            <w:pPr>
              <w:suppressAutoHyphens/>
              <w:rPr>
                <w:bCs/>
                <w:noProof/>
                <w:sz w:val="24"/>
                <w:szCs w:val="24"/>
              </w:rPr>
            </w:pPr>
            <w:r>
              <w:rPr>
                <w:bCs/>
                <w:noProof/>
                <w:sz w:val="24"/>
                <w:szCs w:val="24"/>
              </w:rPr>
              <w:t>Réactions cutanées sévères (telles qu’érythème polymorphe, syndrome de Stevens-Johnson et nécrolyse épidermique)</w:t>
            </w:r>
          </w:p>
        </w:tc>
        <w:tc>
          <w:tcPr>
            <w:tcW w:w="2552" w:type="dxa"/>
          </w:tcPr>
          <w:p w14:paraId="1E696645" w14:textId="54C52BAD" w:rsidR="00D71866" w:rsidRDefault="00D71866" w:rsidP="005F5B05">
            <w:pPr>
              <w:suppressAutoHyphens/>
              <w:rPr>
                <w:bCs/>
                <w:noProof/>
                <w:sz w:val="24"/>
                <w:szCs w:val="24"/>
              </w:rPr>
            </w:pPr>
            <w:r>
              <w:rPr>
                <w:bCs/>
                <w:noProof/>
                <w:sz w:val="24"/>
                <w:szCs w:val="24"/>
              </w:rPr>
              <w:t>Angi</w:t>
            </w:r>
            <w:r w:rsidR="006549DE">
              <w:rPr>
                <w:bCs/>
                <w:noProof/>
                <w:sz w:val="24"/>
                <w:szCs w:val="24"/>
              </w:rPr>
              <w:t>œ</w:t>
            </w:r>
            <w:r>
              <w:rPr>
                <w:bCs/>
                <w:noProof/>
                <w:sz w:val="24"/>
                <w:szCs w:val="24"/>
              </w:rPr>
              <w:t>dème</w:t>
            </w:r>
            <w:r w:rsidR="006549DE">
              <w:rPr>
                <w:bCs/>
                <w:noProof/>
                <w:sz w:val="24"/>
                <w:szCs w:val="24"/>
              </w:rPr>
              <w:t>,</w:t>
            </w:r>
            <w:r>
              <w:rPr>
                <w:bCs/>
                <w:noProof/>
                <w:sz w:val="24"/>
                <w:szCs w:val="24"/>
              </w:rPr>
              <w:t xml:space="preserve"> urticaire</w:t>
            </w:r>
          </w:p>
        </w:tc>
      </w:tr>
      <w:tr w:rsidR="00D71866" w14:paraId="7475FD96" w14:textId="77777777" w:rsidTr="00EE32E5">
        <w:tc>
          <w:tcPr>
            <w:tcW w:w="2105" w:type="dxa"/>
          </w:tcPr>
          <w:p w14:paraId="160D86B2" w14:textId="45F81B3E" w:rsidR="00D71866" w:rsidRDefault="00D71866" w:rsidP="005F5B05">
            <w:pPr>
              <w:suppressAutoHyphens/>
              <w:rPr>
                <w:bCs/>
                <w:noProof/>
                <w:sz w:val="24"/>
                <w:szCs w:val="24"/>
              </w:rPr>
            </w:pPr>
            <w:r>
              <w:rPr>
                <w:bCs/>
                <w:noProof/>
                <w:sz w:val="24"/>
                <w:szCs w:val="24"/>
              </w:rPr>
              <w:t xml:space="preserve">Affections </w:t>
            </w:r>
            <w:r w:rsidR="00207E73">
              <w:rPr>
                <w:bCs/>
                <w:noProof/>
                <w:sz w:val="24"/>
                <w:szCs w:val="24"/>
              </w:rPr>
              <w:t>du rein et des voies urinaires</w:t>
            </w:r>
          </w:p>
        </w:tc>
        <w:tc>
          <w:tcPr>
            <w:tcW w:w="1596" w:type="dxa"/>
          </w:tcPr>
          <w:p w14:paraId="1FF51F4D" w14:textId="77777777" w:rsidR="00D71866" w:rsidRDefault="00D71866" w:rsidP="005F5B05">
            <w:pPr>
              <w:suppressAutoHyphens/>
              <w:rPr>
                <w:bCs/>
                <w:noProof/>
                <w:sz w:val="24"/>
                <w:szCs w:val="24"/>
              </w:rPr>
            </w:pPr>
          </w:p>
        </w:tc>
        <w:tc>
          <w:tcPr>
            <w:tcW w:w="1681" w:type="dxa"/>
          </w:tcPr>
          <w:p w14:paraId="19BE8F23" w14:textId="77777777" w:rsidR="00D71866" w:rsidRDefault="00D71866" w:rsidP="005F5B05">
            <w:pPr>
              <w:suppressAutoHyphens/>
              <w:rPr>
                <w:bCs/>
                <w:noProof/>
                <w:sz w:val="24"/>
                <w:szCs w:val="24"/>
              </w:rPr>
            </w:pPr>
          </w:p>
        </w:tc>
        <w:tc>
          <w:tcPr>
            <w:tcW w:w="1984" w:type="dxa"/>
          </w:tcPr>
          <w:p w14:paraId="3E85F41A" w14:textId="77777777" w:rsidR="00D71866" w:rsidRDefault="00D71866" w:rsidP="005F5B05">
            <w:pPr>
              <w:suppressAutoHyphens/>
              <w:rPr>
                <w:bCs/>
                <w:noProof/>
                <w:sz w:val="24"/>
                <w:szCs w:val="24"/>
              </w:rPr>
            </w:pPr>
          </w:p>
        </w:tc>
        <w:tc>
          <w:tcPr>
            <w:tcW w:w="2552" w:type="dxa"/>
          </w:tcPr>
          <w:p w14:paraId="33F260BD" w14:textId="5B285E79" w:rsidR="00D71866" w:rsidRDefault="00207E73" w:rsidP="005F5B05">
            <w:pPr>
              <w:suppressAutoHyphens/>
              <w:rPr>
                <w:bCs/>
                <w:noProof/>
                <w:sz w:val="24"/>
                <w:szCs w:val="24"/>
              </w:rPr>
            </w:pPr>
            <w:r>
              <w:rPr>
                <w:bCs/>
                <w:noProof/>
                <w:sz w:val="24"/>
                <w:szCs w:val="24"/>
              </w:rPr>
              <w:t>Chromaturie</w:t>
            </w:r>
          </w:p>
        </w:tc>
      </w:tr>
      <w:tr w:rsidR="00207E73" w14:paraId="3498936A" w14:textId="77777777" w:rsidTr="00EE32E5">
        <w:tc>
          <w:tcPr>
            <w:tcW w:w="2105" w:type="dxa"/>
          </w:tcPr>
          <w:p w14:paraId="5FC313DC" w14:textId="0D659DCF" w:rsidR="00207E73" w:rsidRDefault="00207E73" w:rsidP="005F5B05">
            <w:pPr>
              <w:suppressAutoHyphens/>
              <w:rPr>
                <w:bCs/>
                <w:noProof/>
                <w:sz w:val="24"/>
                <w:szCs w:val="24"/>
              </w:rPr>
            </w:pPr>
            <w:r>
              <w:rPr>
                <w:bCs/>
                <w:noProof/>
                <w:sz w:val="24"/>
                <w:szCs w:val="24"/>
              </w:rPr>
              <w:t>Troubles généraux et anomalies au site d’administration</w:t>
            </w:r>
          </w:p>
        </w:tc>
        <w:tc>
          <w:tcPr>
            <w:tcW w:w="1596" w:type="dxa"/>
          </w:tcPr>
          <w:p w14:paraId="59DDC50C" w14:textId="77777777" w:rsidR="00207E73" w:rsidRDefault="00207E73" w:rsidP="005F5B05">
            <w:pPr>
              <w:suppressAutoHyphens/>
              <w:rPr>
                <w:bCs/>
                <w:noProof/>
                <w:sz w:val="24"/>
                <w:szCs w:val="24"/>
              </w:rPr>
            </w:pPr>
          </w:p>
        </w:tc>
        <w:tc>
          <w:tcPr>
            <w:tcW w:w="1681" w:type="dxa"/>
          </w:tcPr>
          <w:p w14:paraId="2BDD4D4E" w14:textId="77777777" w:rsidR="00207E73" w:rsidRDefault="00207E73" w:rsidP="005F5B05">
            <w:pPr>
              <w:suppressAutoHyphens/>
              <w:rPr>
                <w:bCs/>
                <w:noProof/>
                <w:sz w:val="24"/>
                <w:szCs w:val="24"/>
              </w:rPr>
            </w:pPr>
          </w:p>
        </w:tc>
        <w:tc>
          <w:tcPr>
            <w:tcW w:w="1984" w:type="dxa"/>
          </w:tcPr>
          <w:p w14:paraId="63EB6B0C" w14:textId="77777777" w:rsidR="00207E73" w:rsidRPr="00EE32E5" w:rsidRDefault="00207E73" w:rsidP="005F5B05">
            <w:pPr>
              <w:suppressAutoHyphens/>
              <w:rPr>
                <w:bCs/>
                <w:i/>
                <w:iCs/>
                <w:noProof/>
                <w:sz w:val="24"/>
                <w:szCs w:val="24"/>
              </w:rPr>
            </w:pPr>
          </w:p>
        </w:tc>
        <w:tc>
          <w:tcPr>
            <w:tcW w:w="2552" w:type="dxa"/>
          </w:tcPr>
          <w:p w14:paraId="597690A9" w14:textId="35D369B2" w:rsidR="00207E73" w:rsidRDefault="00207E73" w:rsidP="005F5B05">
            <w:pPr>
              <w:suppressAutoHyphens/>
              <w:rPr>
                <w:bCs/>
                <w:noProof/>
                <w:sz w:val="24"/>
                <w:szCs w:val="24"/>
              </w:rPr>
            </w:pPr>
            <w:r>
              <w:rPr>
                <w:bCs/>
                <w:noProof/>
                <w:sz w:val="24"/>
                <w:szCs w:val="24"/>
              </w:rPr>
              <w:t>Fièvre, fatigue</w:t>
            </w:r>
          </w:p>
        </w:tc>
      </w:tr>
      <w:tr w:rsidR="00B71619" w14:paraId="0AB72983" w14:textId="77777777" w:rsidTr="00EE32E5">
        <w:tc>
          <w:tcPr>
            <w:tcW w:w="2105" w:type="dxa"/>
          </w:tcPr>
          <w:p w14:paraId="5509014A" w14:textId="17A687F7" w:rsidR="00B71619" w:rsidRDefault="00B71619" w:rsidP="005F5B05">
            <w:pPr>
              <w:suppressAutoHyphens/>
              <w:rPr>
                <w:bCs/>
                <w:noProof/>
                <w:sz w:val="24"/>
                <w:szCs w:val="24"/>
              </w:rPr>
            </w:pPr>
            <w:r>
              <w:rPr>
                <w:bCs/>
                <w:noProof/>
                <w:sz w:val="24"/>
                <w:szCs w:val="24"/>
              </w:rPr>
              <w:t>Investigations</w:t>
            </w:r>
          </w:p>
        </w:tc>
        <w:tc>
          <w:tcPr>
            <w:tcW w:w="1596" w:type="dxa"/>
          </w:tcPr>
          <w:p w14:paraId="55834BD9" w14:textId="77777777" w:rsidR="00B71619" w:rsidRDefault="00B71619" w:rsidP="005F5B05">
            <w:pPr>
              <w:suppressAutoHyphens/>
              <w:rPr>
                <w:bCs/>
                <w:noProof/>
                <w:sz w:val="24"/>
                <w:szCs w:val="24"/>
              </w:rPr>
            </w:pPr>
          </w:p>
        </w:tc>
        <w:tc>
          <w:tcPr>
            <w:tcW w:w="1681" w:type="dxa"/>
          </w:tcPr>
          <w:p w14:paraId="2901A71D" w14:textId="77777777" w:rsidR="00B71619" w:rsidRDefault="00B71619" w:rsidP="005F5B05">
            <w:pPr>
              <w:suppressAutoHyphens/>
              <w:rPr>
                <w:bCs/>
                <w:noProof/>
                <w:sz w:val="24"/>
                <w:szCs w:val="24"/>
              </w:rPr>
            </w:pPr>
          </w:p>
        </w:tc>
        <w:tc>
          <w:tcPr>
            <w:tcW w:w="1984" w:type="dxa"/>
          </w:tcPr>
          <w:p w14:paraId="3F74D0DD" w14:textId="77777777" w:rsidR="00B71619" w:rsidRDefault="00B71619" w:rsidP="005F5B05">
            <w:pPr>
              <w:suppressAutoHyphens/>
              <w:rPr>
                <w:bCs/>
                <w:noProof/>
                <w:sz w:val="24"/>
                <w:szCs w:val="24"/>
              </w:rPr>
            </w:pPr>
          </w:p>
        </w:tc>
        <w:tc>
          <w:tcPr>
            <w:tcW w:w="2552" w:type="dxa"/>
          </w:tcPr>
          <w:p w14:paraId="7F7D7324" w14:textId="627AF64C" w:rsidR="00B71619" w:rsidRDefault="00B71619" w:rsidP="005F5B05">
            <w:pPr>
              <w:suppressAutoHyphens/>
              <w:rPr>
                <w:bCs/>
                <w:noProof/>
                <w:sz w:val="24"/>
                <w:szCs w:val="24"/>
              </w:rPr>
            </w:pPr>
            <w:r>
              <w:rPr>
                <w:bCs/>
                <w:noProof/>
                <w:sz w:val="24"/>
                <w:szCs w:val="24"/>
              </w:rPr>
              <w:t>Modifications des tests de biologie</w:t>
            </w:r>
          </w:p>
        </w:tc>
      </w:tr>
    </w:tbl>
    <w:p w14:paraId="57B1B4AB" w14:textId="77777777" w:rsidR="005F5B05" w:rsidRDefault="005F5B05" w:rsidP="005F5B05">
      <w:pPr>
        <w:suppressAutoHyphens/>
        <w:rPr>
          <w:bCs/>
          <w:noProof/>
          <w:sz w:val="24"/>
          <w:szCs w:val="24"/>
        </w:rPr>
      </w:pPr>
    </w:p>
    <w:p w14:paraId="45C997A5" w14:textId="69C680DF" w:rsidR="005F5B05" w:rsidRDefault="00B71619" w:rsidP="00EE32E5">
      <w:pPr>
        <w:suppressAutoHyphens/>
        <w:jc w:val="both"/>
        <w:rPr>
          <w:bCs/>
          <w:noProof/>
          <w:sz w:val="24"/>
          <w:szCs w:val="24"/>
        </w:rPr>
      </w:pPr>
      <w:r>
        <w:rPr>
          <w:bCs/>
          <w:noProof/>
          <w:sz w:val="24"/>
          <w:szCs w:val="24"/>
        </w:rPr>
        <w:lastRenderedPageBreak/>
        <w:t xml:space="preserve">A l’occasion d’un traitement par des dérivés 5-nitro-imidazolés, tels que le tinidazole, une surinfection vaginale à </w:t>
      </w:r>
      <w:r w:rsidRPr="00EE32E5">
        <w:rPr>
          <w:bCs/>
          <w:i/>
          <w:iCs/>
          <w:noProof/>
          <w:sz w:val="24"/>
          <w:szCs w:val="24"/>
        </w:rPr>
        <w:t>Candida albicans</w:t>
      </w:r>
      <w:r>
        <w:rPr>
          <w:bCs/>
          <w:noProof/>
          <w:sz w:val="24"/>
          <w:szCs w:val="24"/>
        </w:rPr>
        <w:t xml:space="preserve"> peut se présenter.</w:t>
      </w:r>
    </w:p>
    <w:p w14:paraId="7F4ADDB9" w14:textId="762905EE" w:rsidR="00B71619" w:rsidRDefault="00B71619" w:rsidP="005F5B05">
      <w:pPr>
        <w:suppressAutoHyphens/>
        <w:rPr>
          <w:bCs/>
          <w:noProof/>
          <w:sz w:val="24"/>
          <w:szCs w:val="24"/>
        </w:rPr>
      </w:pPr>
    </w:p>
    <w:p w14:paraId="1ED561E4" w14:textId="68CECB9F" w:rsidR="00B71619" w:rsidRPr="00EE32E5" w:rsidRDefault="00B71619" w:rsidP="005F5B05">
      <w:pPr>
        <w:suppressAutoHyphens/>
        <w:rPr>
          <w:bCs/>
          <w:noProof/>
          <w:sz w:val="24"/>
          <w:szCs w:val="24"/>
          <w:u w:val="single"/>
        </w:rPr>
      </w:pPr>
      <w:r w:rsidRPr="00EE32E5">
        <w:rPr>
          <w:bCs/>
          <w:noProof/>
          <w:sz w:val="24"/>
          <w:szCs w:val="24"/>
          <w:u w:val="single"/>
        </w:rPr>
        <w:t>Déclaration des effets indésirables suspectés</w:t>
      </w:r>
    </w:p>
    <w:p w14:paraId="51BC7EFA" w14:textId="4263BE8D" w:rsidR="005F5B05" w:rsidRDefault="00B71619" w:rsidP="00EE32E5">
      <w:pPr>
        <w:suppressAutoHyphens/>
        <w:jc w:val="both"/>
        <w:rPr>
          <w:bCs/>
          <w:noProof/>
          <w:sz w:val="24"/>
          <w:szCs w:val="24"/>
        </w:rPr>
      </w:pPr>
      <w:r>
        <w:rPr>
          <w:bCs/>
          <w:noProof/>
          <w:sz w:val="24"/>
          <w:szCs w:val="24"/>
        </w:rPr>
        <w:t xml:space="preserve">La déclaration des effets indésirables suspectés après autorisation du médicament est importante.  Elle permet une surveillance du rapport bénéfice/risque du médicament.  Les professionnels de santé déclarent tout effet indésirable suspecté via </w:t>
      </w:r>
      <w:r w:rsidR="00B958F6">
        <w:rPr>
          <w:bCs/>
          <w:noProof/>
          <w:sz w:val="24"/>
          <w:szCs w:val="24"/>
        </w:rPr>
        <w:t>le système national de déclaration.</w:t>
      </w:r>
    </w:p>
    <w:p w14:paraId="370BC2CD" w14:textId="77777777" w:rsidR="00B71619" w:rsidRPr="00EE32E5" w:rsidRDefault="00B71619" w:rsidP="00EE32E5">
      <w:pPr>
        <w:suppressAutoHyphens/>
        <w:rPr>
          <w:bCs/>
          <w:noProof/>
          <w:sz w:val="24"/>
          <w:szCs w:val="24"/>
        </w:rPr>
      </w:pPr>
    </w:p>
    <w:p w14:paraId="7DC162BD" w14:textId="77777777" w:rsidR="001E592A" w:rsidRPr="00EE32E5" w:rsidRDefault="001E592A" w:rsidP="001E592A">
      <w:pPr>
        <w:suppressAutoHyphens/>
        <w:ind w:left="567" w:hanging="567"/>
        <w:rPr>
          <w:b/>
          <w:noProof/>
          <w:sz w:val="24"/>
          <w:szCs w:val="24"/>
        </w:rPr>
      </w:pPr>
      <w:r w:rsidRPr="00EE32E5">
        <w:rPr>
          <w:b/>
          <w:noProof/>
          <w:sz w:val="24"/>
          <w:szCs w:val="24"/>
        </w:rPr>
        <w:t>4.9</w:t>
      </w:r>
      <w:r w:rsidRPr="00EE32E5">
        <w:rPr>
          <w:b/>
          <w:noProof/>
          <w:sz w:val="24"/>
          <w:szCs w:val="24"/>
        </w:rPr>
        <w:tab/>
        <w:t>Surdosage</w:t>
      </w:r>
    </w:p>
    <w:p w14:paraId="7EF5EBCF" w14:textId="5B2ACABF" w:rsidR="00BD60F4" w:rsidRDefault="00BD60F4" w:rsidP="00373302">
      <w:pPr>
        <w:rPr>
          <w:sz w:val="24"/>
          <w:szCs w:val="24"/>
        </w:rPr>
      </w:pPr>
    </w:p>
    <w:p w14:paraId="13B0DA8E" w14:textId="755255CB" w:rsidR="00B71619" w:rsidRPr="00EE32E5" w:rsidRDefault="00B71619" w:rsidP="00373302">
      <w:pPr>
        <w:rPr>
          <w:sz w:val="24"/>
          <w:szCs w:val="24"/>
          <w:u w:val="single"/>
        </w:rPr>
      </w:pPr>
      <w:r w:rsidRPr="00EE32E5">
        <w:rPr>
          <w:sz w:val="24"/>
          <w:szCs w:val="24"/>
          <w:u w:val="single"/>
        </w:rPr>
        <w:t>Signes et symptômes de surdosage</w:t>
      </w:r>
    </w:p>
    <w:p w14:paraId="3B646DD8" w14:textId="77777777" w:rsidR="00BD60F4" w:rsidRPr="00EE32E5" w:rsidRDefault="00BD60F4" w:rsidP="00EE32E5">
      <w:pPr>
        <w:jc w:val="both"/>
        <w:rPr>
          <w:sz w:val="24"/>
          <w:szCs w:val="24"/>
        </w:rPr>
      </w:pPr>
      <w:r w:rsidRPr="00EE32E5">
        <w:rPr>
          <w:sz w:val="24"/>
          <w:szCs w:val="24"/>
        </w:rPr>
        <w:t xml:space="preserve">Les rapports faisant étant de surdosage au </w:t>
      </w:r>
      <w:proofErr w:type="spellStart"/>
      <w:r w:rsidRPr="00EE32E5">
        <w:rPr>
          <w:sz w:val="24"/>
          <w:szCs w:val="24"/>
        </w:rPr>
        <w:t>tinidazole</w:t>
      </w:r>
      <w:proofErr w:type="spellEnd"/>
      <w:r w:rsidRPr="00EE32E5">
        <w:rPr>
          <w:sz w:val="24"/>
          <w:szCs w:val="24"/>
        </w:rPr>
        <w:t xml:space="preserve"> chez l’être humain sont anecdotiques et ne fournissent pas de données uniformes </w:t>
      </w:r>
      <w:r w:rsidR="00F86888" w:rsidRPr="00EE32E5">
        <w:rPr>
          <w:sz w:val="24"/>
          <w:szCs w:val="24"/>
        </w:rPr>
        <w:t>concernant</w:t>
      </w:r>
      <w:r w:rsidRPr="00EE32E5">
        <w:rPr>
          <w:sz w:val="24"/>
          <w:szCs w:val="24"/>
        </w:rPr>
        <w:t xml:space="preserve"> les signes et les symptômes de </w:t>
      </w:r>
      <w:r w:rsidR="00F86888" w:rsidRPr="00EE32E5">
        <w:rPr>
          <w:sz w:val="24"/>
          <w:szCs w:val="24"/>
        </w:rPr>
        <w:t>surdosage</w:t>
      </w:r>
      <w:r w:rsidRPr="00EE32E5">
        <w:rPr>
          <w:sz w:val="24"/>
          <w:szCs w:val="24"/>
        </w:rPr>
        <w:t xml:space="preserve">. </w:t>
      </w:r>
    </w:p>
    <w:p w14:paraId="2D756F98" w14:textId="77777777" w:rsidR="00545FF0" w:rsidRDefault="00545FF0" w:rsidP="00373302">
      <w:pPr>
        <w:rPr>
          <w:sz w:val="24"/>
          <w:szCs w:val="24"/>
          <w:u w:val="single"/>
        </w:rPr>
      </w:pPr>
    </w:p>
    <w:p w14:paraId="61E6034E" w14:textId="07582365" w:rsidR="00B71619" w:rsidRDefault="00BD60F4" w:rsidP="00373302">
      <w:pPr>
        <w:rPr>
          <w:sz w:val="24"/>
          <w:szCs w:val="24"/>
        </w:rPr>
      </w:pPr>
      <w:r w:rsidRPr="00EE32E5">
        <w:rPr>
          <w:sz w:val="24"/>
          <w:szCs w:val="24"/>
          <w:u w:val="single"/>
        </w:rPr>
        <w:t>Traitement du surdosage</w:t>
      </w:r>
      <w:r w:rsidRPr="00EE32E5">
        <w:rPr>
          <w:sz w:val="24"/>
          <w:szCs w:val="24"/>
        </w:rPr>
        <w:t> </w:t>
      </w:r>
    </w:p>
    <w:p w14:paraId="16D6C4DF" w14:textId="0B34C2D2" w:rsidR="00373302" w:rsidRPr="00EE32E5" w:rsidRDefault="00B71619" w:rsidP="00EE32E5">
      <w:pPr>
        <w:jc w:val="both"/>
        <w:rPr>
          <w:sz w:val="24"/>
          <w:szCs w:val="24"/>
        </w:rPr>
      </w:pPr>
      <w:r>
        <w:rPr>
          <w:sz w:val="24"/>
          <w:szCs w:val="24"/>
        </w:rPr>
        <w:t>I</w:t>
      </w:r>
      <w:r w:rsidRPr="00EE32E5">
        <w:rPr>
          <w:sz w:val="24"/>
          <w:szCs w:val="24"/>
        </w:rPr>
        <w:t xml:space="preserve">l </w:t>
      </w:r>
      <w:r w:rsidR="00373302" w:rsidRPr="00EE32E5">
        <w:rPr>
          <w:sz w:val="24"/>
          <w:szCs w:val="24"/>
        </w:rPr>
        <w:t xml:space="preserve">n’existe pas d’antidote spécifique pour le traitement du surdosage avec le </w:t>
      </w:r>
      <w:proofErr w:type="spellStart"/>
      <w:r w:rsidR="00373302" w:rsidRPr="00EE32E5">
        <w:rPr>
          <w:sz w:val="24"/>
          <w:szCs w:val="24"/>
        </w:rPr>
        <w:t>tinidazole</w:t>
      </w:r>
      <w:proofErr w:type="spellEnd"/>
      <w:r w:rsidR="00373302" w:rsidRPr="00EE32E5">
        <w:rPr>
          <w:sz w:val="24"/>
          <w:szCs w:val="24"/>
        </w:rPr>
        <w:t>.</w:t>
      </w:r>
    </w:p>
    <w:p w14:paraId="484B6AD7" w14:textId="77777777" w:rsidR="00373302" w:rsidRPr="00EE32E5" w:rsidRDefault="00373302" w:rsidP="00373302">
      <w:pPr>
        <w:rPr>
          <w:sz w:val="24"/>
          <w:szCs w:val="24"/>
        </w:rPr>
      </w:pPr>
      <w:r w:rsidRPr="00EE32E5">
        <w:rPr>
          <w:sz w:val="24"/>
          <w:szCs w:val="24"/>
        </w:rPr>
        <w:t>Un traitement symptomatique et de soutien sera instauré, un lavage gastrique peut être utile.</w:t>
      </w:r>
    </w:p>
    <w:p w14:paraId="104E8D0E" w14:textId="77777777" w:rsidR="00373302" w:rsidRPr="00EE32E5" w:rsidRDefault="00373302" w:rsidP="00373302">
      <w:pPr>
        <w:rPr>
          <w:sz w:val="24"/>
          <w:szCs w:val="24"/>
        </w:rPr>
      </w:pPr>
      <w:r w:rsidRPr="00EE32E5">
        <w:rPr>
          <w:sz w:val="24"/>
          <w:szCs w:val="24"/>
        </w:rPr>
        <w:t xml:space="preserve">Le </w:t>
      </w:r>
      <w:proofErr w:type="spellStart"/>
      <w:r w:rsidRPr="00EE32E5">
        <w:rPr>
          <w:sz w:val="24"/>
          <w:szCs w:val="24"/>
        </w:rPr>
        <w:t>tinidazole</w:t>
      </w:r>
      <w:proofErr w:type="spellEnd"/>
      <w:r w:rsidRPr="00EE32E5">
        <w:rPr>
          <w:sz w:val="24"/>
          <w:szCs w:val="24"/>
        </w:rPr>
        <w:t xml:space="preserve"> est facilement </w:t>
      </w:r>
      <w:proofErr w:type="spellStart"/>
      <w:r w:rsidRPr="00EE32E5">
        <w:rPr>
          <w:sz w:val="24"/>
          <w:szCs w:val="24"/>
        </w:rPr>
        <w:t>dialysable</w:t>
      </w:r>
      <w:proofErr w:type="spellEnd"/>
      <w:r w:rsidRPr="00EE32E5">
        <w:rPr>
          <w:sz w:val="24"/>
          <w:szCs w:val="24"/>
        </w:rPr>
        <w:t>.</w:t>
      </w:r>
    </w:p>
    <w:p w14:paraId="3086087C" w14:textId="77777777" w:rsidR="001E592A" w:rsidRPr="00EE32E5" w:rsidRDefault="001E592A" w:rsidP="00373302">
      <w:pPr>
        <w:rPr>
          <w:noProof/>
          <w:sz w:val="24"/>
          <w:szCs w:val="24"/>
        </w:rPr>
      </w:pPr>
    </w:p>
    <w:p w14:paraId="210051F1" w14:textId="77777777" w:rsidR="001E592A" w:rsidRPr="00EE32E5" w:rsidRDefault="001E592A" w:rsidP="001E592A">
      <w:pPr>
        <w:suppressAutoHyphens/>
        <w:rPr>
          <w:noProof/>
          <w:sz w:val="24"/>
          <w:szCs w:val="24"/>
        </w:rPr>
      </w:pPr>
    </w:p>
    <w:p w14:paraId="24545CAD" w14:textId="77777777" w:rsidR="001E592A" w:rsidRPr="00EE32E5" w:rsidRDefault="001E592A" w:rsidP="001E592A">
      <w:pPr>
        <w:suppressAutoHyphens/>
        <w:ind w:left="567" w:hanging="567"/>
        <w:rPr>
          <w:b/>
          <w:noProof/>
          <w:sz w:val="24"/>
          <w:szCs w:val="24"/>
        </w:rPr>
      </w:pPr>
      <w:r w:rsidRPr="00EE32E5">
        <w:rPr>
          <w:b/>
          <w:noProof/>
          <w:sz w:val="24"/>
          <w:szCs w:val="24"/>
        </w:rPr>
        <w:t>5.</w:t>
      </w:r>
      <w:r w:rsidRPr="00EE32E5">
        <w:rPr>
          <w:b/>
          <w:noProof/>
          <w:sz w:val="24"/>
          <w:szCs w:val="24"/>
        </w:rPr>
        <w:tab/>
        <w:t>PROPRIETES PHARMACOLOGIQUES</w:t>
      </w:r>
    </w:p>
    <w:p w14:paraId="53740F52" w14:textId="77777777" w:rsidR="001E592A" w:rsidRPr="00EE32E5" w:rsidRDefault="001E592A" w:rsidP="001E592A">
      <w:pPr>
        <w:suppressAutoHyphens/>
        <w:rPr>
          <w:noProof/>
          <w:sz w:val="24"/>
          <w:szCs w:val="24"/>
        </w:rPr>
      </w:pPr>
    </w:p>
    <w:p w14:paraId="267C98A7" w14:textId="42CA5D47" w:rsidR="001E592A" w:rsidRDefault="001E592A" w:rsidP="001E592A">
      <w:pPr>
        <w:suppressAutoHyphens/>
        <w:ind w:left="567" w:hanging="567"/>
        <w:rPr>
          <w:b/>
          <w:noProof/>
          <w:sz w:val="24"/>
          <w:szCs w:val="24"/>
        </w:rPr>
      </w:pPr>
      <w:r w:rsidRPr="00EE32E5">
        <w:rPr>
          <w:b/>
          <w:noProof/>
          <w:sz w:val="24"/>
          <w:szCs w:val="24"/>
        </w:rPr>
        <w:t>5.1</w:t>
      </w:r>
      <w:r w:rsidRPr="00EE32E5">
        <w:rPr>
          <w:b/>
          <w:noProof/>
          <w:sz w:val="24"/>
          <w:szCs w:val="24"/>
        </w:rPr>
        <w:tab/>
        <w:t>Propriétés pharmacodynamiques</w:t>
      </w:r>
    </w:p>
    <w:p w14:paraId="68694E7F" w14:textId="77777777" w:rsidR="00B71619" w:rsidRPr="00EE32E5" w:rsidRDefault="00B71619" w:rsidP="001E592A">
      <w:pPr>
        <w:suppressAutoHyphens/>
        <w:ind w:left="567" w:hanging="567"/>
        <w:rPr>
          <w:b/>
          <w:noProof/>
          <w:sz w:val="24"/>
          <w:szCs w:val="24"/>
        </w:rPr>
      </w:pPr>
    </w:p>
    <w:p w14:paraId="14F90CAC" w14:textId="02229F1A" w:rsidR="0080637F" w:rsidRPr="00EE32E5" w:rsidRDefault="0080637F" w:rsidP="0080637F">
      <w:pPr>
        <w:rPr>
          <w:sz w:val="24"/>
          <w:szCs w:val="24"/>
          <w:lang w:eastAsia="fr-BE"/>
        </w:rPr>
      </w:pPr>
      <w:r w:rsidRPr="00EE32E5">
        <w:rPr>
          <w:sz w:val="24"/>
          <w:szCs w:val="24"/>
          <w:lang w:eastAsia="fr-BE"/>
        </w:rPr>
        <w:t xml:space="preserve">Classe </w:t>
      </w:r>
      <w:proofErr w:type="spellStart"/>
      <w:r w:rsidR="00545FF0" w:rsidRPr="007F7E7C">
        <w:rPr>
          <w:sz w:val="24"/>
          <w:szCs w:val="24"/>
          <w:lang w:eastAsia="fr-BE"/>
        </w:rPr>
        <w:t>pharmacothérapeutique</w:t>
      </w:r>
      <w:proofErr w:type="spellEnd"/>
      <w:r w:rsidRPr="00EE32E5">
        <w:rPr>
          <w:sz w:val="24"/>
          <w:szCs w:val="24"/>
          <w:lang w:eastAsia="fr-BE"/>
        </w:rPr>
        <w:t>: antibactériens systémiques.</w:t>
      </w:r>
    </w:p>
    <w:p w14:paraId="3167D955" w14:textId="2AF558F2" w:rsidR="0080637F" w:rsidRDefault="0080637F" w:rsidP="0080637F">
      <w:pPr>
        <w:rPr>
          <w:sz w:val="24"/>
          <w:szCs w:val="24"/>
          <w:lang w:eastAsia="fr-BE"/>
        </w:rPr>
      </w:pPr>
      <w:r w:rsidRPr="00EE32E5">
        <w:rPr>
          <w:sz w:val="24"/>
          <w:szCs w:val="24"/>
          <w:lang w:eastAsia="fr-BE"/>
        </w:rPr>
        <w:t>Code ATC: J01XD02.</w:t>
      </w:r>
    </w:p>
    <w:p w14:paraId="21620A97" w14:textId="6AD7D519" w:rsidR="00B71619" w:rsidRDefault="00B71619" w:rsidP="0080637F">
      <w:pPr>
        <w:rPr>
          <w:sz w:val="24"/>
          <w:szCs w:val="24"/>
          <w:lang w:eastAsia="fr-BE"/>
        </w:rPr>
      </w:pPr>
      <w:r>
        <w:rPr>
          <w:sz w:val="24"/>
          <w:szCs w:val="24"/>
          <w:lang w:eastAsia="fr-BE"/>
        </w:rPr>
        <w:t xml:space="preserve">Agents contre les amibiases et autres maladies protozoaires (dérivés des </w:t>
      </w:r>
      <w:proofErr w:type="spellStart"/>
      <w:r>
        <w:rPr>
          <w:sz w:val="24"/>
          <w:szCs w:val="24"/>
          <w:lang w:eastAsia="fr-BE"/>
        </w:rPr>
        <w:t>nitroimidazoles</w:t>
      </w:r>
      <w:proofErr w:type="spellEnd"/>
      <w:r>
        <w:rPr>
          <w:sz w:val="24"/>
          <w:szCs w:val="24"/>
          <w:lang w:eastAsia="fr-BE"/>
        </w:rPr>
        <w:t>), code ATC : P01AB02.</w:t>
      </w:r>
    </w:p>
    <w:p w14:paraId="751708D4" w14:textId="77777777" w:rsidR="00B71619" w:rsidRPr="00EE32E5" w:rsidRDefault="00B71619" w:rsidP="0080637F">
      <w:pPr>
        <w:rPr>
          <w:sz w:val="24"/>
          <w:szCs w:val="24"/>
          <w:lang w:eastAsia="fr-BE"/>
        </w:rPr>
      </w:pPr>
    </w:p>
    <w:p w14:paraId="1C3CC61B" w14:textId="064DB19E" w:rsidR="0080637F" w:rsidRDefault="00B958F6" w:rsidP="0080637F">
      <w:pPr>
        <w:rPr>
          <w:sz w:val="24"/>
          <w:szCs w:val="24"/>
          <w:lang w:eastAsia="fr-BE"/>
        </w:rPr>
      </w:pPr>
      <w:r>
        <w:rPr>
          <w:sz w:val="24"/>
          <w:szCs w:val="24"/>
          <w:lang w:eastAsia="fr-BE"/>
        </w:rPr>
        <w:t xml:space="preserve">Le </w:t>
      </w:r>
      <w:proofErr w:type="spellStart"/>
      <w:r w:rsidR="0080637F" w:rsidRPr="00EE32E5">
        <w:rPr>
          <w:sz w:val="24"/>
          <w:szCs w:val="24"/>
          <w:lang w:eastAsia="fr-BE"/>
        </w:rPr>
        <w:t>tinidazole</w:t>
      </w:r>
      <w:proofErr w:type="spellEnd"/>
      <w:r w:rsidR="0080637F" w:rsidRPr="00EE32E5">
        <w:rPr>
          <w:sz w:val="24"/>
          <w:szCs w:val="24"/>
          <w:lang w:eastAsia="fr-BE"/>
        </w:rPr>
        <w:t xml:space="preserve"> est un dérivé synthétique de la série des imidazoles substitués, destiné au traitement des infections dues à </w:t>
      </w:r>
      <w:r w:rsidR="0080637F" w:rsidRPr="00EE32E5">
        <w:rPr>
          <w:i/>
          <w:iCs/>
          <w:sz w:val="24"/>
          <w:szCs w:val="24"/>
          <w:lang w:eastAsia="fr-BE"/>
        </w:rPr>
        <w:t xml:space="preserve">Trichomonas </w:t>
      </w:r>
      <w:proofErr w:type="spellStart"/>
      <w:r w:rsidR="0080637F" w:rsidRPr="00EE32E5">
        <w:rPr>
          <w:i/>
          <w:iCs/>
          <w:sz w:val="24"/>
          <w:szCs w:val="24"/>
          <w:lang w:eastAsia="fr-BE"/>
        </w:rPr>
        <w:t>vaginalis</w:t>
      </w:r>
      <w:proofErr w:type="spellEnd"/>
      <w:r w:rsidR="0080637F" w:rsidRPr="00EE32E5">
        <w:rPr>
          <w:sz w:val="24"/>
          <w:szCs w:val="24"/>
          <w:lang w:eastAsia="fr-BE"/>
        </w:rPr>
        <w:t xml:space="preserve">, </w:t>
      </w:r>
      <w:proofErr w:type="spellStart"/>
      <w:r w:rsidR="0080637F" w:rsidRPr="00EE32E5">
        <w:rPr>
          <w:i/>
          <w:iCs/>
          <w:sz w:val="24"/>
          <w:szCs w:val="24"/>
          <w:lang w:eastAsia="fr-BE"/>
        </w:rPr>
        <w:t>Entamoeba</w:t>
      </w:r>
      <w:proofErr w:type="spellEnd"/>
      <w:r w:rsidR="0080637F" w:rsidRPr="00EE32E5">
        <w:rPr>
          <w:i/>
          <w:iCs/>
          <w:sz w:val="24"/>
          <w:szCs w:val="24"/>
          <w:lang w:eastAsia="fr-BE"/>
        </w:rPr>
        <w:t xml:space="preserve"> </w:t>
      </w:r>
      <w:proofErr w:type="spellStart"/>
      <w:r w:rsidR="0080637F" w:rsidRPr="00EE32E5">
        <w:rPr>
          <w:i/>
          <w:iCs/>
          <w:sz w:val="24"/>
          <w:szCs w:val="24"/>
          <w:lang w:eastAsia="fr-BE"/>
        </w:rPr>
        <w:t>histolytica</w:t>
      </w:r>
      <w:proofErr w:type="spellEnd"/>
      <w:r w:rsidR="0080637F" w:rsidRPr="00EE32E5">
        <w:rPr>
          <w:sz w:val="24"/>
          <w:szCs w:val="24"/>
          <w:lang w:eastAsia="fr-BE"/>
        </w:rPr>
        <w:t xml:space="preserve">, </w:t>
      </w:r>
      <w:r w:rsidR="0080637F" w:rsidRPr="00EE32E5">
        <w:rPr>
          <w:i/>
          <w:iCs/>
          <w:sz w:val="24"/>
          <w:szCs w:val="24"/>
          <w:lang w:eastAsia="fr-BE"/>
        </w:rPr>
        <w:t xml:space="preserve">Giardia </w:t>
      </w:r>
      <w:proofErr w:type="spellStart"/>
      <w:r w:rsidR="0080637F" w:rsidRPr="00EE32E5">
        <w:rPr>
          <w:i/>
          <w:iCs/>
          <w:sz w:val="24"/>
          <w:szCs w:val="24"/>
          <w:lang w:eastAsia="fr-BE"/>
        </w:rPr>
        <w:t>lamblia</w:t>
      </w:r>
      <w:proofErr w:type="spellEnd"/>
      <w:r w:rsidR="0080637F" w:rsidRPr="00EE32E5">
        <w:rPr>
          <w:i/>
          <w:iCs/>
          <w:sz w:val="24"/>
          <w:szCs w:val="24"/>
          <w:lang w:eastAsia="fr-BE"/>
        </w:rPr>
        <w:t xml:space="preserve"> </w:t>
      </w:r>
      <w:r w:rsidR="0080637F" w:rsidRPr="00EE32E5">
        <w:rPr>
          <w:sz w:val="24"/>
          <w:szCs w:val="24"/>
          <w:lang w:eastAsia="fr-BE"/>
        </w:rPr>
        <w:t xml:space="preserve">et à des bactéries anaérobies strictes sensibles, telles que </w:t>
      </w:r>
      <w:proofErr w:type="spellStart"/>
      <w:r w:rsidR="0080637F" w:rsidRPr="00EE32E5">
        <w:rPr>
          <w:i/>
          <w:iCs/>
          <w:sz w:val="24"/>
          <w:szCs w:val="24"/>
          <w:lang w:eastAsia="fr-BE"/>
        </w:rPr>
        <w:t>Bacteroides</w:t>
      </w:r>
      <w:proofErr w:type="spellEnd"/>
      <w:r w:rsidR="0080637F" w:rsidRPr="00EE32E5">
        <w:rPr>
          <w:i/>
          <w:iCs/>
          <w:sz w:val="24"/>
          <w:szCs w:val="24"/>
          <w:lang w:eastAsia="fr-BE"/>
        </w:rPr>
        <w:t xml:space="preserve"> </w:t>
      </w:r>
      <w:proofErr w:type="spellStart"/>
      <w:r w:rsidR="0080637F" w:rsidRPr="00EE32E5">
        <w:rPr>
          <w:i/>
          <w:iCs/>
          <w:sz w:val="24"/>
          <w:szCs w:val="24"/>
          <w:lang w:eastAsia="fr-BE"/>
        </w:rPr>
        <w:t>fragilis</w:t>
      </w:r>
      <w:proofErr w:type="spellEnd"/>
      <w:r w:rsidR="0080637F" w:rsidRPr="00EE32E5">
        <w:rPr>
          <w:sz w:val="24"/>
          <w:szCs w:val="24"/>
          <w:lang w:eastAsia="fr-BE"/>
        </w:rPr>
        <w:t xml:space="preserve">, </w:t>
      </w:r>
      <w:proofErr w:type="spellStart"/>
      <w:r w:rsidR="0080637F" w:rsidRPr="00EE32E5">
        <w:rPr>
          <w:i/>
          <w:iCs/>
          <w:sz w:val="24"/>
          <w:szCs w:val="24"/>
          <w:lang w:eastAsia="fr-BE"/>
        </w:rPr>
        <w:t>Bacteroides</w:t>
      </w:r>
      <w:proofErr w:type="spellEnd"/>
      <w:r w:rsidR="00545FF0">
        <w:rPr>
          <w:i/>
          <w:iCs/>
          <w:sz w:val="24"/>
          <w:szCs w:val="24"/>
          <w:lang w:eastAsia="fr-BE"/>
        </w:rPr>
        <w:t xml:space="preserve"> </w:t>
      </w:r>
      <w:proofErr w:type="spellStart"/>
      <w:r w:rsidR="00545FF0">
        <w:rPr>
          <w:i/>
          <w:iCs/>
          <w:sz w:val="24"/>
          <w:szCs w:val="24"/>
          <w:lang w:eastAsia="fr-BE"/>
        </w:rPr>
        <w:t>melaninogenicus</w:t>
      </w:r>
      <w:proofErr w:type="spellEnd"/>
      <w:r w:rsidR="00545FF0">
        <w:rPr>
          <w:i/>
          <w:iCs/>
          <w:sz w:val="24"/>
          <w:szCs w:val="24"/>
          <w:lang w:eastAsia="fr-BE"/>
        </w:rPr>
        <w:t xml:space="preserve">, </w:t>
      </w:r>
      <w:proofErr w:type="spellStart"/>
      <w:r w:rsidR="00545FF0">
        <w:rPr>
          <w:i/>
          <w:iCs/>
          <w:sz w:val="24"/>
          <w:szCs w:val="24"/>
          <w:lang w:eastAsia="fr-BE"/>
        </w:rPr>
        <w:t>Bacteroides</w:t>
      </w:r>
      <w:proofErr w:type="spellEnd"/>
      <w:r w:rsidR="0080637F" w:rsidRPr="00EE32E5">
        <w:rPr>
          <w:i/>
          <w:iCs/>
          <w:sz w:val="24"/>
          <w:szCs w:val="24"/>
          <w:lang w:eastAsia="fr-BE"/>
        </w:rPr>
        <w:t xml:space="preserve"> </w:t>
      </w:r>
      <w:proofErr w:type="spellStart"/>
      <w:r w:rsidR="0080637F" w:rsidRPr="00EE32E5">
        <w:rPr>
          <w:i/>
          <w:iCs/>
          <w:sz w:val="24"/>
          <w:szCs w:val="24"/>
          <w:lang w:eastAsia="fr-BE"/>
        </w:rPr>
        <w:t>spp</w:t>
      </w:r>
      <w:proofErr w:type="spellEnd"/>
      <w:r w:rsidR="0080637F" w:rsidRPr="00EE32E5">
        <w:rPr>
          <w:i/>
          <w:iCs/>
          <w:sz w:val="24"/>
          <w:szCs w:val="24"/>
          <w:lang w:eastAsia="fr-BE"/>
        </w:rPr>
        <w:t>.</w:t>
      </w:r>
      <w:r w:rsidR="0080637F" w:rsidRPr="00EE32E5">
        <w:rPr>
          <w:sz w:val="24"/>
          <w:szCs w:val="24"/>
          <w:lang w:eastAsia="fr-BE"/>
        </w:rPr>
        <w:t xml:space="preserve">, </w:t>
      </w:r>
      <w:proofErr w:type="spellStart"/>
      <w:r w:rsidR="0080637F" w:rsidRPr="00EE32E5">
        <w:rPr>
          <w:i/>
          <w:iCs/>
          <w:sz w:val="24"/>
          <w:szCs w:val="24"/>
          <w:lang w:eastAsia="fr-BE"/>
        </w:rPr>
        <w:t>Fusobacteria</w:t>
      </w:r>
      <w:proofErr w:type="spellEnd"/>
      <w:r w:rsidR="0080637F" w:rsidRPr="00EE32E5">
        <w:rPr>
          <w:i/>
          <w:iCs/>
          <w:sz w:val="24"/>
          <w:szCs w:val="24"/>
          <w:lang w:eastAsia="fr-BE"/>
        </w:rPr>
        <w:t xml:space="preserve"> </w:t>
      </w:r>
      <w:proofErr w:type="spellStart"/>
      <w:r w:rsidR="0080637F" w:rsidRPr="00EE32E5">
        <w:rPr>
          <w:sz w:val="24"/>
          <w:szCs w:val="24"/>
          <w:lang w:eastAsia="fr-BE"/>
        </w:rPr>
        <w:t>spp</w:t>
      </w:r>
      <w:proofErr w:type="spellEnd"/>
      <w:r w:rsidR="0080637F" w:rsidRPr="00EE32E5">
        <w:rPr>
          <w:sz w:val="24"/>
          <w:szCs w:val="24"/>
          <w:lang w:eastAsia="fr-BE"/>
        </w:rPr>
        <w:t xml:space="preserve">., </w:t>
      </w:r>
      <w:proofErr w:type="spellStart"/>
      <w:r w:rsidR="0080637F" w:rsidRPr="00EE32E5">
        <w:rPr>
          <w:i/>
          <w:iCs/>
          <w:sz w:val="24"/>
          <w:szCs w:val="24"/>
          <w:lang w:eastAsia="fr-BE"/>
        </w:rPr>
        <w:t>Peptococcus</w:t>
      </w:r>
      <w:proofErr w:type="spellEnd"/>
      <w:r w:rsidR="0080637F" w:rsidRPr="00EE32E5">
        <w:rPr>
          <w:i/>
          <w:iCs/>
          <w:sz w:val="24"/>
          <w:szCs w:val="24"/>
          <w:lang w:eastAsia="fr-BE"/>
        </w:rPr>
        <w:t xml:space="preserve"> </w:t>
      </w:r>
      <w:proofErr w:type="spellStart"/>
      <w:r w:rsidR="0080637F" w:rsidRPr="00EE32E5">
        <w:rPr>
          <w:sz w:val="24"/>
          <w:szCs w:val="24"/>
          <w:lang w:eastAsia="fr-BE"/>
        </w:rPr>
        <w:t>spp</w:t>
      </w:r>
      <w:proofErr w:type="spellEnd"/>
      <w:r w:rsidR="0080637F" w:rsidRPr="00EE32E5">
        <w:rPr>
          <w:sz w:val="24"/>
          <w:szCs w:val="24"/>
          <w:lang w:eastAsia="fr-BE"/>
        </w:rPr>
        <w:t xml:space="preserve">., </w:t>
      </w:r>
      <w:proofErr w:type="spellStart"/>
      <w:r w:rsidR="0080637F" w:rsidRPr="00EE32E5">
        <w:rPr>
          <w:i/>
          <w:iCs/>
          <w:sz w:val="24"/>
          <w:szCs w:val="24"/>
          <w:lang w:eastAsia="fr-BE"/>
        </w:rPr>
        <w:t>Peptostreptococcus</w:t>
      </w:r>
      <w:proofErr w:type="spellEnd"/>
      <w:r w:rsidR="0080637F" w:rsidRPr="00EE32E5">
        <w:rPr>
          <w:i/>
          <w:iCs/>
          <w:sz w:val="24"/>
          <w:szCs w:val="24"/>
          <w:lang w:eastAsia="fr-BE"/>
        </w:rPr>
        <w:t xml:space="preserve"> </w:t>
      </w:r>
      <w:proofErr w:type="spellStart"/>
      <w:r w:rsidR="0080637F" w:rsidRPr="00EE32E5">
        <w:rPr>
          <w:sz w:val="24"/>
          <w:szCs w:val="24"/>
          <w:lang w:eastAsia="fr-BE"/>
        </w:rPr>
        <w:t>spp</w:t>
      </w:r>
      <w:proofErr w:type="spellEnd"/>
      <w:r w:rsidR="0080637F" w:rsidRPr="00EE32E5">
        <w:rPr>
          <w:sz w:val="24"/>
          <w:szCs w:val="24"/>
          <w:lang w:eastAsia="fr-BE"/>
        </w:rPr>
        <w:t xml:space="preserve">., </w:t>
      </w:r>
      <w:r w:rsidR="0080637F" w:rsidRPr="00EE32E5">
        <w:rPr>
          <w:i/>
          <w:iCs/>
          <w:sz w:val="24"/>
          <w:szCs w:val="24"/>
          <w:lang w:eastAsia="fr-BE"/>
        </w:rPr>
        <w:t>Clostr</w:t>
      </w:r>
      <w:r w:rsidR="00545FF0">
        <w:rPr>
          <w:i/>
          <w:iCs/>
          <w:sz w:val="24"/>
          <w:szCs w:val="24"/>
          <w:lang w:eastAsia="fr-BE"/>
        </w:rPr>
        <w:t>i</w:t>
      </w:r>
      <w:r w:rsidR="0080637F" w:rsidRPr="00EE32E5">
        <w:rPr>
          <w:i/>
          <w:iCs/>
          <w:sz w:val="24"/>
          <w:szCs w:val="24"/>
          <w:lang w:eastAsia="fr-BE"/>
        </w:rPr>
        <w:t xml:space="preserve">dium </w:t>
      </w:r>
      <w:proofErr w:type="spellStart"/>
      <w:r w:rsidR="0080637F" w:rsidRPr="00EE32E5">
        <w:rPr>
          <w:sz w:val="24"/>
          <w:szCs w:val="24"/>
          <w:lang w:eastAsia="fr-BE"/>
        </w:rPr>
        <w:t>spp</w:t>
      </w:r>
      <w:proofErr w:type="spellEnd"/>
      <w:r w:rsidR="0080637F" w:rsidRPr="00EE32E5">
        <w:rPr>
          <w:sz w:val="24"/>
          <w:szCs w:val="24"/>
          <w:lang w:eastAsia="fr-BE"/>
        </w:rPr>
        <w:t xml:space="preserve">., </w:t>
      </w:r>
      <w:proofErr w:type="spellStart"/>
      <w:r w:rsidR="0080637F" w:rsidRPr="00EE32E5">
        <w:rPr>
          <w:i/>
          <w:iCs/>
          <w:sz w:val="24"/>
          <w:szCs w:val="24"/>
          <w:lang w:eastAsia="fr-BE"/>
        </w:rPr>
        <w:t>Eubacteria</w:t>
      </w:r>
      <w:proofErr w:type="spellEnd"/>
      <w:r w:rsidR="0080637F" w:rsidRPr="00EE32E5">
        <w:rPr>
          <w:i/>
          <w:iCs/>
          <w:sz w:val="24"/>
          <w:szCs w:val="24"/>
          <w:lang w:eastAsia="fr-BE"/>
        </w:rPr>
        <w:t xml:space="preserve"> </w:t>
      </w:r>
      <w:proofErr w:type="spellStart"/>
      <w:r w:rsidR="0080637F" w:rsidRPr="00EE32E5">
        <w:rPr>
          <w:sz w:val="24"/>
          <w:szCs w:val="24"/>
          <w:lang w:eastAsia="fr-BE"/>
        </w:rPr>
        <w:t>spp</w:t>
      </w:r>
      <w:proofErr w:type="spellEnd"/>
      <w:r w:rsidR="0080637F" w:rsidRPr="00EE32E5">
        <w:rPr>
          <w:sz w:val="24"/>
          <w:szCs w:val="24"/>
          <w:lang w:eastAsia="fr-BE"/>
        </w:rPr>
        <w:t xml:space="preserve">. </w:t>
      </w:r>
      <w:proofErr w:type="gramStart"/>
      <w:r w:rsidR="00B71619">
        <w:rPr>
          <w:sz w:val="24"/>
          <w:szCs w:val="24"/>
          <w:lang w:eastAsia="fr-BE"/>
        </w:rPr>
        <w:t>e</w:t>
      </w:r>
      <w:r w:rsidR="0080637F" w:rsidRPr="00EE32E5">
        <w:rPr>
          <w:sz w:val="24"/>
          <w:szCs w:val="24"/>
          <w:lang w:eastAsia="fr-BE"/>
        </w:rPr>
        <w:t>t</w:t>
      </w:r>
      <w:proofErr w:type="gramEnd"/>
      <w:r w:rsidR="00B71619">
        <w:rPr>
          <w:sz w:val="24"/>
          <w:szCs w:val="24"/>
          <w:lang w:eastAsia="fr-BE"/>
        </w:rPr>
        <w:t xml:space="preserve"> </w:t>
      </w:r>
      <w:proofErr w:type="spellStart"/>
      <w:r w:rsidR="0080637F" w:rsidRPr="00EE32E5">
        <w:rPr>
          <w:i/>
          <w:iCs/>
          <w:sz w:val="24"/>
          <w:szCs w:val="24"/>
          <w:lang w:eastAsia="fr-BE"/>
        </w:rPr>
        <w:t>Veillonella</w:t>
      </w:r>
      <w:proofErr w:type="spellEnd"/>
      <w:r w:rsidR="0080637F" w:rsidRPr="00EE32E5">
        <w:rPr>
          <w:i/>
          <w:iCs/>
          <w:sz w:val="24"/>
          <w:szCs w:val="24"/>
          <w:lang w:eastAsia="fr-BE"/>
        </w:rPr>
        <w:t xml:space="preserve"> </w:t>
      </w:r>
      <w:proofErr w:type="spellStart"/>
      <w:r w:rsidR="0080637F" w:rsidRPr="00EE32E5">
        <w:rPr>
          <w:sz w:val="24"/>
          <w:szCs w:val="24"/>
          <w:lang w:eastAsia="fr-BE"/>
        </w:rPr>
        <w:t>spp</w:t>
      </w:r>
      <w:proofErr w:type="spellEnd"/>
      <w:r w:rsidR="0080637F" w:rsidRPr="00EE32E5">
        <w:rPr>
          <w:sz w:val="24"/>
          <w:szCs w:val="24"/>
          <w:lang w:eastAsia="fr-BE"/>
        </w:rPr>
        <w:t xml:space="preserve">. </w:t>
      </w:r>
      <w:r w:rsidR="00897FF5">
        <w:rPr>
          <w:sz w:val="24"/>
          <w:szCs w:val="24"/>
          <w:lang w:eastAsia="fr-BE"/>
        </w:rPr>
        <w:t xml:space="preserve"> </w:t>
      </w:r>
      <w:r w:rsidR="0080637F" w:rsidRPr="00EE32E5">
        <w:rPr>
          <w:sz w:val="24"/>
          <w:szCs w:val="24"/>
          <w:lang w:eastAsia="fr-BE"/>
        </w:rPr>
        <w:t xml:space="preserve">Le </w:t>
      </w:r>
      <w:proofErr w:type="spellStart"/>
      <w:r w:rsidR="0080637F" w:rsidRPr="00EE32E5">
        <w:rPr>
          <w:sz w:val="24"/>
          <w:szCs w:val="24"/>
          <w:lang w:eastAsia="fr-BE"/>
        </w:rPr>
        <w:t>tinidazole</w:t>
      </w:r>
      <w:proofErr w:type="spellEnd"/>
      <w:r w:rsidR="0080637F" w:rsidRPr="00EE32E5">
        <w:rPr>
          <w:sz w:val="24"/>
          <w:szCs w:val="24"/>
          <w:lang w:eastAsia="fr-BE"/>
        </w:rPr>
        <w:t xml:space="preserve"> est aussi actif in vitro sur </w:t>
      </w:r>
      <w:proofErr w:type="spellStart"/>
      <w:r w:rsidR="0080637F" w:rsidRPr="00EE32E5">
        <w:rPr>
          <w:i/>
          <w:iCs/>
          <w:sz w:val="24"/>
          <w:szCs w:val="24"/>
          <w:lang w:eastAsia="fr-BE"/>
        </w:rPr>
        <w:t>Gardnerella</w:t>
      </w:r>
      <w:proofErr w:type="spellEnd"/>
      <w:r w:rsidR="0080637F" w:rsidRPr="00EE32E5">
        <w:rPr>
          <w:i/>
          <w:iCs/>
          <w:sz w:val="24"/>
          <w:szCs w:val="24"/>
          <w:lang w:eastAsia="fr-BE"/>
        </w:rPr>
        <w:t xml:space="preserve"> </w:t>
      </w:r>
      <w:proofErr w:type="spellStart"/>
      <w:r w:rsidR="0080637F" w:rsidRPr="00EE32E5">
        <w:rPr>
          <w:i/>
          <w:iCs/>
          <w:sz w:val="24"/>
          <w:szCs w:val="24"/>
          <w:lang w:eastAsia="fr-BE"/>
        </w:rPr>
        <w:t>vaginalis</w:t>
      </w:r>
      <w:proofErr w:type="spellEnd"/>
      <w:r w:rsidR="0080637F" w:rsidRPr="00EE32E5">
        <w:rPr>
          <w:sz w:val="24"/>
          <w:szCs w:val="24"/>
          <w:lang w:eastAsia="fr-BE"/>
        </w:rPr>
        <w:t xml:space="preserve">, mais il est dénué d'activité sur </w:t>
      </w:r>
      <w:r w:rsidR="0080637F" w:rsidRPr="00EE32E5">
        <w:rPr>
          <w:i/>
          <w:iCs/>
          <w:sz w:val="24"/>
          <w:szCs w:val="24"/>
          <w:lang w:eastAsia="fr-BE"/>
        </w:rPr>
        <w:t xml:space="preserve">Candida </w:t>
      </w:r>
      <w:proofErr w:type="spellStart"/>
      <w:r w:rsidR="0080637F" w:rsidRPr="00EE32E5">
        <w:rPr>
          <w:i/>
          <w:iCs/>
          <w:sz w:val="24"/>
          <w:szCs w:val="24"/>
          <w:lang w:eastAsia="fr-BE"/>
        </w:rPr>
        <w:t>albicans</w:t>
      </w:r>
      <w:proofErr w:type="spellEnd"/>
      <w:r w:rsidR="0080637F" w:rsidRPr="00EE32E5">
        <w:rPr>
          <w:sz w:val="24"/>
          <w:szCs w:val="24"/>
          <w:lang w:eastAsia="fr-BE"/>
        </w:rPr>
        <w:t>.</w:t>
      </w:r>
    </w:p>
    <w:p w14:paraId="2D34D2D2" w14:textId="77777777" w:rsidR="00545FF0" w:rsidRPr="00EE32E5" w:rsidRDefault="00545FF0" w:rsidP="0080637F">
      <w:pPr>
        <w:rPr>
          <w:sz w:val="24"/>
          <w:szCs w:val="24"/>
          <w:lang w:eastAsia="fr-BE"/>
        </w:rPr>
      </w:pPr>
    </w:p>
    <w:p w14:paraId="6288B2AD" w14:textId="6FE4A5CD" w:rsidR="0080637F" w:rsidRPr="00EE32E5" w:rsidRDefault="00B958F6" w:rsidP="0080637F">
      <w:pPr>
        <w:rPr>
          <w:sz w:val="24"/>
          <w:szCs w:val="24"/>
          <w:lang w:eastAsia="fr-BE"/>
        </w:rPr>
      </w:pPr>
      <w:r>
        <w:rPr>
          <w:sz w:val="24"/>
          <w:szCs w:val="24"/>
          <w:lang w:eastAsia="fr-BE"/>
        </w:rPr>
        <w:t xml:space="preserve">Le </w:t>
      </w:r>
      <w:proofErr w:type="spellStart"/>
      <w:r w:rsidR="0080637F" w:rsidRPr="00EE32E5">
        <w:rPr>
          <w:sz w:val="24"/>
          <w:szCs w:val="24"/>
          <w:lang w:eastAsia="fr-BE"/>
        </w:rPr>
        <w:t>tinidazole</w:t>
      </w:r>
      <w:proofErr w:type="spellEnd"/>
      <w:r w:rsidR="0080637F" w:rsidRPr="00EE32E5">
        <w:rPr>
          <w:sz w:val="24"/>
          <w:szCs w:val="24"/>
          <w:lang w:eastAsia="fr-BE"/>
        </w:rPr>
        <w:t xml:space="preserve"> correspond à la formule chimique suivante: 1-2- (</w:t>
      </w:r>
      <w:proofErr w:type="spellStart"/>
      <w:r w:rsidR="0080637F" w:rsidRPr="00EE32E5">
        <w:rPr>
          <w:sz w:val="24"/>
          <w:szCs w:val="24"/>
          <w:lang w:eastAsia="fr-BE"/>
        </w:rPr>
        <w:t>éthylsulfonyl</w:t>
      </w:r>
      <w:proofErr w:type="spellEnd"/>
      <w:r w:rsidR="0080637F" w:rsidRPr="00EE32E5">
        <w:rPr>
          <w:sz w:val="24"/>
          <w:szCs w:val="24"/>
          <w:lang w:eastAsia="fr-BE"/>
        </w:rPr>
        <w:t xml:space="preserve">) éthyl-2-méthyl-5-nitroimidazole. Le </w:t>
      </w:r>
      <w:proofErr w:type="spellStart"/>
      <w:r w:rsidR="0080637F" w:rsidRPr="00EE32E5">
        <w:rPr>
          <w:sz w:val="24"/>
          <w:szCs w:val="24"/>
          <w:lang w:eastAsia="fr-BE"/>
        </w:rPr>
        <w:t>tinidazole</w:t>
      </w:r>
      <w:proofErr w:type="spellEnd"/>
      <w:r w:rsidR="0080637F" w:rsidRPr="00EE32E5">
        <w:rPr>
          <w:sz w:val="24"/>
          <w:szCs w:val="24"/>
          <w:lang w:eastAsia="fr-BE"/>
        </w:rPr>
        <w:t xml:space="preserve"> est une substance cristalline jaune pâle, peu soluble dans l'eau, mais soluble dans des solvants organiques tels que le méthanol et le chloroforme.</w:t>
      </w:r>
    </w:p>
    <w:p w14:paraId="14CC3547" w14:textId="77777777" w:rsidR="00897FF5" w:rsidRDefault="00897FF5" w:rsidP="0080637F">
      <w:pPr>
        <w:rPr>
          <w:sz w:val="24"/>
          <w:szCs w:val="24"/>
          <w:lang w:eastAsia="fr-BE"/>
        </w:rPr>
      </w:pPr>
    </w:p>
    <w:p w14:paraId="0AEFAC62" w14:textId="3FD814FC" w:rsidR="00897FF5" w:rsidRPr="00EE32E5" w:rsidRDefault="00897FF5" w:rsidP="0080637F">
      <w:pPr>
        <w:rPr>
          <w:sz w:val="24"/>
          <w:szCs w:val="24"/>
          <w:u w:val="single"/>
          <w:lang w:eastAsia="fr-BE"/>
        </w:rPr>
      </w:pPr>
      <w:r w:rsidRPr="00EE32E5">
        <w:rPr>
          <w:sz w:val="24"/>
          <w:szCs w:val="24"/>
          <w:u w:val="single"/>
          <w:lang w:eastAsia="fr-BE"/>
        </w:rPr>
        <w:t>Mécanisme d’action</w:t>
      </w:r>
    </w:p>
    <w:p w14:paraId="313B91E2" w14:textId="3C70C5E7" w:rsidR="001E592A" w:rsidRDefault="0080637F" w:rsidP="0080637F">
      <w:pPr>
        <w:rPr>
          <w:sz w:val="24"/>
          <w:szCs w:val="24"/>
          <w:lang w:eastAsia="fr-BE"/>
        </w:rPr>
      </w:pPr>
      <w:r w:rsidRPr="00EE32E5">
        <w:rPr>
          <w:sz w:val="24"/>
          <w:szCs w:val="24"/>
          <w:lang w:eastAsia="fr-BE"/>
        </w:rPr>
        <w:t xml:space="preserve">Le mode d'action du </w:t>
      </w:r>
      <w:proofErr w:type="spellStart"/>
      <w:r w:rsidRPr="00EE32E5">
        <w:rPr>
          <w:sz w:val="24"/>
          <w:szCs w:val="24"/>
          <w:lang w:eastAsia="fr-BE"/>
        </w:rPr>
        <w:t>tinidazole</w:t>
      </w:r>
      <w:proofErr w:type="spellEnd"/>
      <w:r w:rsidRPr="00EE32E5">
        <w:rPr>
          <w:sz w:val="24"/>
          <w:szCs w:val="24"/>
          <w:lang w:eastAsia="fr-BE"/>
        </w:rPr>
        <w:t xml:space="preserve"> sur les bactéries anaérobies comporte une pénétration de la substance dans la cellule bactérienne avec altération subséquente des chaînes </w:t>
      </w:r>
      <w:r w:rsidR="00897FF5">
        <w:rPr>
          <w:sz w:val="24"/>
          <w:szCs w:val="24"/>
          <w:lang w:eastAsia="fr-BE"/>
        </w:rPr>
        <w:t>d’ADN</w:t>
      </w:r>
      <w:r w:rsidRPr="00EE32E5">
        <w:rPr>
          <w:sz w:val="24"/>
          <w:szCs w:val="24"/>
          <w:lang w:eastAsia="fr-BE"/>
        </w:rPr>
        <w:t xml:space="preserve"> ou inhibition de leur synthèse.</w:t>
      </w:r>
    </w:p>
    <w:p w14:paraId="4D64F4FA" w14:textId="3516EE4B" w:rsidR="000373EB" w:rsidRDefault="000373EB" w:rsidP="0080637F">
      <w:pPr>
        <w:rPr>
          <w:sz w:val="24"/>
          <w:szCs w:val="24"/>
          <w:lang w:eastAsia="fr-BE"/>
        </w:rPr>
      </w:pPr>
    </w:p>
    <w:p w14:paraId="4BC0740F" w14:textId="313141DC" w:rsidR="000373EB" w:rsidRDefault="000373EB" w:rsidP="0080637F">
      <w:pPr>
        <w:rPr>
          <w:sz w:val="24"/>
          <w:szCs w:val="24"/>
          <w:lang w:eastAsia="fr-BE"/>
        </w:rPr>
      </w:pPr>
    </w:p>
    <w:p w14:paraId="49B869AA" w14:textId="42BA894E" w:rsidR="000373EB" w:rsidRDefault="000373EB" w:rsidP="0080637F">
      <w:pPr>
        <w:rPr>
          <w:sz w:val="24"/>
          <w:szCs w:val="24"/>
          <w:lang w:eastAsia="fr-BE"/>
        </w:rPr>
      </w:pPr>
    </w:p>
    <w:p w14:paraId="09325A6B" w14:textId="6BC36F9E" w:rsidR="000373EB" w:rsidRDefault="000373EB" w:rsidP="0080637F">
      <w:pPr>
        <w:rPr>
          <w:sz w:val="24"/>
          <w:szCs w:val="24"/>
          <w:lang w:eastAsia="fr-BE"/>
        </w:rPr>
      </w:pPr>
    </w:p>
    <w:p w14:paraId="439DFBCE" w14:textId="77777777" w:rsidR="000373EB" w:rsidRPr="00EE32E5" w:rsidRDefault="000373EB" w:rsidP="0080637F">
      <w:pPr>
        <w:rPr>
          <w:noProof/>
          <w:sz w:val="24"/>
          <w:szCs w:val="24"/>
        </w:rPr>
      </w:pPr>
    </w:p>
    <w:p w14:paraId="55584851" w14:textId="77777777" w:rsidR="001E592A" w:rsidRPr="00EE32E5" w:rsidRDefault="001E592A" w:rsidP="001E592A">
      <w:pPr>
        <w:suppressAutoHyphens/>
        <w:rPr>
          <w:noProof/>
          <w:sz w:val="24"/>
          <w:szCs w:val="24"/>
        </w:rPr>
      </w:pPr>
    </w:p>
    <w:p w14:paraId="36DB34A0" w14:textId="77777777" w:rsidR="001E592A" w:rsidRPr="00EE32E5" w:rsidRDefault="001E592A" w:rsidP="001E592A">
      <w:pPr>
        <w:suppressAutoHyphens/>
        <w:ind w:left="567" w:hanging="567"/>
        <w:rPr>
          <w:b/>
          <w:noProof/>
          <w:sz w:val="24"/>
          <w:szCs w:val="24"/>
        </w:rPr>
      </w:pPr>
      <w:r w:rsidRPr="00EE32E5">
        <w:rPr>
          <w:b/>
          <w:noProof/>
          <w:sz w:val="24"/>
          <w:szCs w:val="24"/>
        </w:rPr>
        <w:lastRenderedPageBreak/>
        <w:t>5.2</w:t>
      </w:r>
      <w:r w:rsidRPr="00EE32E5">
        <w:rPr>
          <w:b/>
          <w:noProof/>
          <w:sz w:val="24"/>
          <w:szCs w:val="24"/>
        </w:rPr>
        <w:tab/>
        <w:t>Propriétés pharmacocinétiques</w:t>
      </w:r>
    </w:p>
    <w:p w14:paraId="3D54E8A8" w14:textId="7D6E42BA" w:rsidR="00897FF5" w:rsidRDefault="00897FF5" w:rsidP="0080637F">
      <w:pPr>
        <w:rPr>
          <w:sz w:val="24"/>
          <w:szCs w:val="24"/>
          <w:u w:val="single"/>
          <w:lang w:eastAsia="fr-BE"/>
        </w:rPr>
      </w:pPr>
    </w:p>
    <w:p w14:paraId="0A02E7A3" w14:textId="23622CCD" w:rsidR="00897FF5" w:rsidRDefault="00897FF5" w:rsidP="0080637F">
      <w:pPr>
        <w:rPr>
          <w:sz w:val="24"/>
          <w:szCs w:val="24"/>
          <w:u w:val="single"/>
          <w:lang w:eastAsia="fr-BE"/>
        </w:rPr>
      </w:pPr>
      <w:r>
        <w:rPr>
          <w:sz w:val="24"/>
          <w:szCs w:val="24"/>
          <w:u w:val="single"/>
          <w:lang w:eastAsia="fr-BE"/>
        </w:rPr>
        <w:t>Absorption</w:t>
      </w:r>
    </w:p>
    <w:p w14:paraId="5BFE52C4" w14:textId="1B8CA8B3" w:rsidR="00897FF5" w:rsidRPr="00EE32E5" w:rsidRDefault="00B958F6" w:rsidP="00EE32E5">
      <w:pPr>
        <w:jc w:val="both"/>
        <w:rPr>
          <w:sz w:val="24"/>
          <w:szCs w:val="24"/>
          <w:lang w:eastAsia="fr-BE"/>
        </w:rPr>
      </w:pPr>
      <w:r>
        <w:rPr>
          <w:sz w:val="24"/>
          <w:szCs w:val="24"/>
          <w:lang w:eastAsia="fr-BE"/>
        </w:rPr>
        <w:t xml:space="preserve">Le </w:t>
      </w:r>
      <w:proofErr w:type="spellStart"/>
      <w:r w:rsidR="00897FF5" w:rsidRPr="00EE32E5">
        <w:rPr>
          <w:sz w:val="24"/>
          <w:szCs w:val="24"/>
          <w:lang w:eastAsia="fr-BE"/>
        </w:rPr>
        <w:t>tinidazole</w:t>
      </w:r>
      <w:proofErr w:type="spellEnd"/>
      <w:r w:rsidR="00897FF5" w:rsidRPr="00EE32E5">
        <w:rPr>
          <w:sz w:val="24"/>
          <w:szCs w:val="24"/>
          <w:lang w:eastAsia="fr-BE"/>
        </w:rPr>
        <w:t xml:space="preserve"> est rapidement et complètement absorbé après une administration orale unique de 2 g.  Les pics sériques sont obtenus 1 à 2 h après la prise.  Ensuite les concentrations sériques diminuent lentement et la substance est encore décelable dans le sérum après 72 heures.  Les concentrations sériques obtenues après administration </w:t>
      </w:r>
      <w:r w:rsidR="000746B4" w:rsidRPr="00EE32E5">
        <w:rPr>
          <w:sz w:val="24"/>
          <w:szCs w:val="24"/>
          <w:lang w:eastAsia="fr-BE"/>
        </w:rPr>
        <w:t xml:space="preserve">de 2 g de </w:t>
      </w:r>
      <w:proofErr w:type="spellStart"/>
      <w:r w:rsidR="000746B4" w:rsidRPr="00EE32E5">
        <w:rPr>
          <w:sz w:val="24"/>
          <w:szCs w:val="24"/>
          <w:lang w:eastAsia="fr-BE"/>
        </w:rPr>
        <w:t>tinidazole</w:t>
      </w:r>
      <w:proofErr w:type="spellEnd"/>
      <w:r w:rsidR="000746B4" w:rsidRPr="00EE32E5">
        <w:rPr>
          <w:sz w:val="24"/>
          <w:szCs w:val="24"/>
          <w:lang w:eastAsia="fr-BE"/>
        </w:rPr>
        <w:t xml:space="preserve"> per os sont de 41 ± 5 </w:t>
      </w:r>
      <w:r w:rsidR="00113AE3" w:rsidRPr="00113AE3">
        <w:rPr>
          <w:lang w:val="fr-FR" w:eastAsia="fr-BE"/>
        </w:rPr>
        <w:t>µ</w:t>
      </w:r>
      <w:r w:rsidR="000746B4" w:rsidRPr="00EE32E5">
        <w:rPr>
          <w:sz w:val="24"/>
          <w:szCs w:val="24"/>
          <w:lang w:eastAsia="fr-BE"/>
        </w:rPr>
        <w:t xml:space="preserve">g/ml à la 1ère heure, 46 ± 4 </w:t>
      </w:r>
      <w:r w:rsidR="00113AE3" w:rsidRPr="00113AE3">
        <w:rPr>
          <w:lang w:val="fr-FR" w:eastAsia="fr-BE"/>
        </w:rPr>
        <w:t>µ</w:t>
      </w:r>
      <w:r w:rsidR="000746B4" w:rsidRPr="00EE32E5">
        <w:rPr>
          <w:sz w:val="24"/>
          <w:szCs w:val="24"/>
          <w:lang w:eastAsia="fr-BE"/>
        </w:rPr>
        <w:t>g/ml à la 4</w:t>
      </w:r>
      <w:r w:rsidR="000746B4" w:rsidRPr="00EE32E5">
        <w:rPr>
          <w:sz w:val="24"/>
          <w:szCs w:val="24"/>
          <w:vertAlign w:val="superscript"/>
          <w:lang w:eastAsia="fr-BE"/>
        </w:rPr>
        <w:t>ème</w:t>
      </w:r>
      <w:r w:rsidR="000746B4" w:rsidRPr="00EE32E5">
        <w:rPr>
          <w:sz w:val="24"/>
          <w:szCs w:val="24"/>
          <w:lang w:eastAsia="fr-BE"/>
        </w:rPr>
        <w:t xml:space="preserve"> heure et 19 ± 2 </w:t>
      </w:r>
      <w:r w:rsidR="00113AE3" w:rsidRPr="00113AE3">
        <w:rPr>
          <w:lang w:val="fr-FR" w:eastAsia="fr-BE"/>
        </w:rPr>
        <w:t>µ</w:t>
      </w:r>
      <w:r w:rsidR="000746B4" w:rsidRPr="00EE32E5">
        <w:rPr>
          <w:sz w:val="24"/>
          <w:szCs w:val="24"/>
          <w:lang w:eastAsia="fr-BE"/>
        </w:rPr>
        <w:t>g/ml à la 24</w:t>
      </w:r>
      <w:r w:rsidR="000746B4" w:rsidRPr="00EE32E5">
        <w:rPr>
          <w:sz w:val="24"/>
          <w:szCs w:val="24"/>
          <w:vertAlign w:val="superscript"/>
          <w:lang w:eastAsia="fr-BE"/>
        </w:rPr>
        <w:t>ème</w:t>
      </w:r>
      <w:r w:rsidR="007F7E7C">
        <w:rPr>
          <w:sz w:val="24"/>
          <w:szCs w:val="24"/>
          <w:lang w:eastAsia="fr-BE"/>
        </w:rPr>
        <w:t xml:space="preserve"> h</w:t>
      </w:r>
      <w:r w:rsidR="000746B4" w:rsidRPr="00EE32E5">
        <w:rPr>
          <w:sz w:val="24"/>
          <w:szCs w:val="24"/>
          <w:lang w:eastAsia="fr-BE"/>
        </w:rPr>
        <w:t xml:space="preserve">eure.   L’administration de </w:t>
      </w:r>
      <w:proofErr w:type="spellStart"/>
      <w:r w:rsidR="000746B4" w:rsidRPr="00EE32E5">
        <w:rPr>
          <w:sz w:val="24"/>
          <w:szCs w:val="24"/>
          <w:lang w:eastAsia="fr-BE"/>
        </w:rPr>
        <w:t>tinidazole</w:t>
      </w:r>
      <w:proofErr w:type="spellEnd"/>
      <w:r w:rsidR="000746B4" w:rsidRPr="00EE32E5">
        <w:rPr>
          <w:sz w:val="24"/>
          <w:szCs w:val="24"/>
          <w:lang w:eastAsia="fr-BE"/>
        </w:rPr>
        <w:t xml:space="preserve"> avec un repas riche en gra</w:t>
      </w:r>
      <w:r w:rsidR="007F7E7C">
        <w:rPr>
          <w:sz w:val="24"/>
          <w:szCs w:val="24"/>
          <w:lang w:eastAsia="fr-BE"/>
        </w:rPr>
        <w:t>i</w:t>
      </w:r>
      <w:r w:rsidR="000746B4" w:rsidRPr="00EE32E5">
        <w:rPr>
          <w:sz w:val="24"/>
          <w:szCs w:val="24"/>
          <w:lang w:eastAsia="fr-BE"/>
        </w:rPr>
        <w:t xml:space="preserve">sses ne modifie pas l’ASC, mails il a été constaté une petite réduction de la </w:t>
      </w:r>
      <w:proofErr w:type="spellStart"/>
      <w:r w:rsidR="000746B4" w:rsidRPr="00EE32E5">
        <w:rPr>
          <w:sz w:val="24"/>
          <w:szCs w:val="24"/>
          <w:lang w:eastAsia="fr-BE"/>
        </w:rPr>
        <w:t>C</w:t>
      </w:r>
      <w:r w:rsidR="000746B4" w:rsidRPr="00EE32E5">
        <w:rPr>
          <w:sz w:val="24"/>
          <w:szCs w:val="24"/>
          <w:vertAlign w:val="subscript"/>
          <w:lang w:eastAsia="fr-BE"/>
        </w:rPr>
        <w:t>max</w:t>
      </w:r>
      <w:proofErr w:type="spellEnd"/>
      <w:r w:rsidR="000746B4" w:rsidRPr="00EE32E5">
        <w:rPr>
          <w:sz w:val="24"/>
          <w:szCs w:val="24"/>
          <w:lang w:eastAsia="fr-BE"/>
        </w:rPr>
        <w:t xml:space="preserve"> (</w:t>
      </w:r>
      <w:r w:rsidR="00C151CE" w:rsidRPr="00EE32E5">
        <w:rPr>
          <w:sz w:val="24"/>
          <w:szCs w:val="24"/>
          <w:lang w:eastAsia="fr-BE"/>
        </w:rPr>
        <w:t xml:space="preserve">~ 15%) et une prolongation du </w:t>
      </w:r>
      <w:proofErr w:type="spellStart"/>
      <w:r w:rsidR="00C151CE" w:rsidRPr="00EE32E5">
        <w:rPr>
          <w:sz w:val="24"/>
          <w:szCs w:val="24"/>
          <w:lang w:eastAsia="fr-BE"/>
        </w:rPr>
        <w:t>T</w:t>
      </w:r>
      <w:r w:rsidR="00C151CE" w:rsidRPr="00EE32E5">
        <w:rPr>
          <w:sz w:val="24"/>
          <w:szCs w:val="24"/>
          <w:vertAlign w:val="subscript"/>
          <w:lang w:eastAsia="fr-BE"/>
        </w:rPr>
        <w:t>max</w:t>
      </w:r>
      <w:proofErr w:type="spellEnd"/>
      <w:r w:rsidR="00C151CE" w:rsidRPr="00EE32E5">
        <w:rPr>
          <w:sz w:val="24"/>
          <w:szCs w:val="24"/>
          <w:lang w:eastAsia="fr-BE"/>
        </w:rPr>
        <w:t xml:space="preserve"> de 1,6 à 3,0 h.  Après administration intraveineuse, la pharmacocinétique du </w:t>
      </w:r>
      <w:proofErr w:type="spellStart"/>
      <w:r w:rsidR="00C151CE" w:rsidRPr="00EE32E5">
        <w:rPr>
          <w:sz w:val="24"/>
          <w:szCs w:val="24"/>
          <w:lang w:eastAsia="fr-BE"/>
        </w:rPr>
        <w:t>tinidazole</w:t>
      </w:r>
      <w:proofErr w:type="spellEnd"/>
      <w:r w:rsidR="00C151CE" w:rsidRPr="00EE32E5">
        <w:rPr>
          <w:sz w:val="24"/>
          <w:szCs w:val="24"/>
          <w:lang w:eastAsia="fr-BE"/>
        </w:rPr>
        <w:t xml:space="preserve"> est linéaire dans l’intervalle posologique de 400 à 1600 mg.</w:t>
      </w:r>
    </w:p>
    <w:p w14:paraId="691A601C" w14:textId="77777777" w:rsidR="00C151CE" w:rsidRDefault="00C151CE" w:rsidP="0080637F">
      <w:pPr>
        <w:rPr>
          <w:sz w:val="24"/>
          <w:szCs w:val="24"/>
          <w:u w:val="single"/>
          <w:lang w:eastAsia="fr-BE"/>
        </w:rPr>
      </w:pPr>
    </w:p>
    <w:p w14:paraId="127EB8DE" w14:textId="4F23B03A" w:rsidR="00AA4160" w:rsidRDefault="00AA4160" w:rsidP="0080637F">
      <w:pPr>
        <w:rPr>
          <w:sz w:val="24"/>
          <w:szCs w:val="24"/>
          <w:u w:val="single"/>
          <w:lang w:eastAsia="fr-BE"/>
        </w:rPr>
      </w:pPr>
      <w:r w:rsidRPr="00EE32E5">
        <w:rPr>
          <w:sz w:val="24"/>
          <w:szCs w:val="24"/>
          <w:u w:val="single"/>
          <w:lang w:eastAsia="fr-BE"/>
        </w:rPr>
        <w:t>Distribution</w:t>
      </w:r>
    </w:p>
    <w:p w14:paraId="272C761E" w14:textId="4702265B" w:rsidR="00C151CE" w:rsidRPr="00EE32E5" w:rsidRDefault="00C151CE" w:rsidP="00EE32E5">
      <w:pPr>
        <w:jc w:val="both"/>
        <w:rPr>
          <w:sz w:val="24"/>
          <w:szCs w:val="24"/>
          <w:lang w:eastAsia="fr-BE"/>
        </w:rPr>
      </w:pPr>
      <w:r w:rsidRPr="00EE32E5">
        <w:rPr>
          <w:sz w:val="24"/>
          <w:szCs w:val="24"/>
          <w:lang w:eastAsia="fr-BE"/>
        </w:rPr>
        <w:t xml:space="preserve">Le </w:t>
      </w:r>
      <w:proofErr w:type="spellStart"/>
      <w:r w:rsidRPr="00EE32E5">
        <w:rPr>
          <w:sz w:val="24"/>
          <w:szCs w:val="24"/>
          <w:lang w:eastAsia="fr-BE"/>
        </w:rPr>
        <w:t>tin</w:t>
      </w:r>
      <w:r w:rsidR="007F7E7C" w:rsidRPr="00EE32E5">
        <w:rPr>
          <w:sz w:val="24"/>
          <w:szCs w:val="24"/>
          <w:lang w:eastAsia="fr-BE"/>
        </w:rPr>
        <w:t>id</w:t>
      </w:r>
      <w:r w:rsidRPr="00EE32E5">
        <w:rPr>
          <w:sz w:val="24"/>
          <w:szCs w:val="24"/>
          <w:lang w:eastAsia="fr-BE"/>
        </w:rPr>
        <w:t>azole</w:t>
      </w:r>
      <w:proofErr w:type="spellEnd"/>
      <w:r w:rsidRPr="00EE32E5">
        <w:rPr>
          <w:sz w:val="24"/>
          <w:szCs w:val="24"/>
          <w:lang w:eastAsia="fr-BE"/>
        </w:rPr>
        <w:t xml:space="preserve"> est bien distribué dans les tissus à des concentrations cliniquement efficaces et passe efficacement</w:t>
      </w:r>
      <w:r w:rsidR="007F7E7C">
        <w:rPr>
          <w:sz w:val="24"/>
          <w:szCs w:val="24"/>
          <w:lang w:eastAsia="fr-BE"/>
        </w:rPr>
        <w:t xml:space="preserve"> </w:t>
      </w:r>
      <w:r w:rsidRPr="00EE32E5">
        <w:rPr>
          <w:sz w:val="24"/>
          <w:szCs w:val="24"/>
          <w:lang w:eastAsia="fr-BE"/>
        </w:rPr>
        <w:t>la barrière hémato-encéphalique.  Le volume apparent de distribution est d’environ 0,63-0.65 l/kg (~ 50 l).  La liaison aux protéines plasmatiques est d’environ 12%.</w:t>
      </w:r>
    </w:p>
    <w:p w14:paraId="28BA4F7F" w14:textId="16866333" w:rsidR="00AA4160" w:rsidRPr="00EE32E5" w:rsidRDefault="00AA4160" w:rsidP="00C151CE">
      <w:pPr>
        <w:rPr>
          <w:sz w:val="24"/>
          <w:szCs w:val="24"/>
          <w:lang w:eastAsia="fr-BE"/>
        </w:rPr>
      </w:pPr>
    </w:p>
    <w:p w14:paraId="0E888DDC" w14:textId="77777777" w:rsidR="00AA4160" w:rsidRPr="00EE32E5" w:rsidRDefault="00AA4160" w:rsidP="0080637F">
      <w:pPr>
        <w:rPr>
          <w:sz w:val="24"/>
          <w:szCs w:val="24"/>
          <w:u w:val="single"/>
          <w:lang w:eastAsia="fr-BE"/>
        </w:rPr>
      </w:pPr>
      <w:r w:rsidRPr="00EE32E5">
        <w:rPr>
          <w:sz w:val="24"/>
          <w:szCs w:val="24"/>
          <w:u w:val="single"/>
          <w:lang w:eastAsia="fr-BE"/>
        </w:rPr>
        <w:t>Biotransformation</w:t>
      </w:r>
    </w:p>
    <w:p w14:paraId="27B6F8C8" w14:textId="0EE84CED" w:rsidR="0087007A" w:rsidRPr="00EE32E5" w:rsidRDefault="007F7E7C" w:rsidP="00EE32E5">
      <w:pPr>
        <w:jc w:val="both"/>
        <w:rPr>
          <w:sz w:val="24"/>
          <w:szCs w:val="24"/>
          <w:lang w:eastAsia="fr-BE"/>
        </w:rPr>
      </w:pPr>
      <w:r>
        <w:rPr>
          <w:sz w:val="24"/>
          <w:szCs w:val="24"/>
          <w:lang w:eastAsia="fr-BE"/>
        </w:rPr>
        <w:t xml:space="preserve">Le </w:t>
      </w:r>
      <w:proofErr w:type="spellStart"/>
      <w:r>
        <w:rPr>
          <w:sz w:val="24"/>
          <w:szCs w:val="24"/>
          <w:lang w:eastAsia="fr-BE"/>
        </w:rPr>
        <w:t>t</w:t>
      </w:r>
      <w:r w:rsidR="00C151CE">
        <w:rPr>
          <w:sz w:val="24"/>
          <w:szCs w:val="24"/>
          <w:lang w:eastAsia="fr-BE"/>
        </w:rPr>
        <w:t>inidazole</w:t>
      </w:r>
      <w:proofErr w:type="spellEnd"/>
      <w:r w:rsidR="00C151CE">
        <w:rPr>
          <w:sz w:val="24"/>
          <w:szCs w:val="24"/>
          <w:lang w:eastAsia="fr-BE"/>
        </w:rPr>
        <w:t xml:space="preserve"> est principalement éliminé par métabolisme hépatique (&gt; 40%).  Des études in vitro utilisant des microsomes hépatiques humains ont montré que le métabolisme du </w:t>
      </w:r>
      <w:proofErr w:type="spellStart"/>
      <w:r w:rsidR="00C151CE">
        <w:rPr>
          <w:sz w:val="24"/>
          <w:szCs w:val="24"/>
          <w:lang w:eastAsia="fr-BE"/>
        </w:rPr>
        <w:t>tinidazole</w:t>
      </w:r>
      <w:proofErr w:type="spellEnd"/>
      <w:r w:rsidR="00C151CE">
        <w:rPr>
          <w:sz w:val="24"/>
          <w:szCs w:val="24"/>
          <w:lang w:eastAsia="fr-BE"/>
        </w:rPr>
        <w:t xml:space="preserve"> est essentiellement médié par le CYP3A4 avec un métabolisme mineur de CYP2B6.  Après administration intraveineuse, </w:t>
      </w:r>
      <w:proofErr w:type="spellStart"/>
      <w:r w:rsidR="00C151CE">
        <w:rPr>
          <w:sz w:val="24"/>
          <w:szCs w:val="24"/>
          <w:lang w:eastAsia="fr-BE"/>
        </w:rPr>
        <w:t>tinidazole</w:t>
      </w:r>
      <w:proofErr w:type="spellEnd"/>
      <w:r w:rsidR="00C151CE">
        <w:rPr>
          <w:sz w:val="24"/>
          <w:szCs w:val="24"/>
          <w:lang w:eastAsia="fr-BE"/>
        </w:rPr>
        <w:t xml:space="preserve"> est la substance principale dan</w:t>
      </w:r>
      <w:r>
        <w:rPr>
          <w:sz w:val="24"/>
          <w:szCs w:val="24"/>
          <w:lang w:eastAsia="fr-BE"/>
        </w:rPr>
        <w:t>s</w:t>
      </w:r>
      <w:r w:rsidR="00C151CE">
        <w:rPr>
          <w:sz w:val="24"/>
          <w:szCs w:val="24"/>
          <w:lang w:eastAsia="fr-BE"/>
        </w:rPr>
        <w:t xml:space="preserve"> l</w:t>
      </w:r>
      <w:r>
        <w:rPr>
          <w:sz w:val="24"/>
          <w:szCs w:val="24"/>
          <w:lang w:eastAsia="fr-BE"/>
        </w:rPr>
        <w:t>e</w:t>
      </w:r>
      <w:r w:rsidR="00C151CE">
        <w:rPr>
          <w:sz w:val="24"/>
          <w:szCs w:val="24"/>
          <w:lang w:eastAsia="fr-BE"/>
        </w:rPr>
        <w:t xml:space="preserve"> plasma et seules des traces mineures du métabolite 2-hydroxyméthylé sont détectées. </w:t>
      </w:r>
    </w:p>
    <w:p w14:paraId="5368DB28" w14:textId="77777777" w:rsidR="00C151CE" w:rsidRDefault="00C151CE" w:rsidP="0080637F">
      <w:pPr>
        <w:rPr>
          <w:sz w:val="24"/>
          <w:szCs w:val="24"/>
          <w:u w:val="single"/>
          <w:lang w:eastAsia="fr-BE"/>
        </w:rPr>
      </w:pPr>
    </w:p>
    <w:p w14:paraId="3172CB8D" w14:textId="73DBD435" w:rsidR="00F23D88" w:rsidRPr="00EE32E5" w:rsidRDefault="00F23D88" w:rsidP="0080637F">
      <w:pPr>
        <w:rPr>
          <w:sz w:val="24"/>
          <w:szCs w:val="24"/>
          <w:u w:val="single"/>
          <w:lang w:eastAsia="fr-BE"/>
        </w:rPr>
      </w:pPr>
      <w:r w:rsidRPr="00EE32E5">
        <w:rPr>
          <w:sz w:val="24"/>
          <w:szCs w:val="24"/>
          <w:u w:val="single"/>
          <w:lang w:eastAsia="fr-BE"/>
        </w:rPr>
        <w:t>Elimination</w:t>
      </w:r>
    </w:p>
    <w:p w14:paraId="5619DE99" w14:textId="11E1795E" w:rsidR="0087007A" w:rsidRDefault="00C151CE" w:rsidP="00EE32E5">
      <w:pPr>
        <w:jc w:val="both"/>
        <w:rPr>
          <w:sz w:val="24"/>
          <w:szCs w:val="24"/>
          <w:lang w:eastAsia="fr-BE"/>
        </w:rPr>
      </w:pPr>
      <w:r>
        <w:rPr>
          <w:sz w:val="24"/>
          <w:szCs w:val="24"/>
          <w:lang w:eastAsia="fr-BE"/>
        </w:rPr>
        <w:t xml:space="preserve">Après administration d’une dose de </w:t>
      </w:r>
      <w:proofErr w:type="spellStart"/>
      <w:r>
        <w:rPr>
          <w:sz w:val="24"/>
          <w:szCs w:val="24"/>
          <w:lang w:eastAsia="fr-BE"/>
        </w:rPr>
        <w:t>tinidazole</w:t>
      </w:r>
      <w:proofErr w:type="spellEnd"/>
      <w:r>
        <w:rPr>
          <w:sz w:val="24"/>
          <w:szCs w:val="24"/>
          <w:lang w:eastAsia="fr-BE"/>
        </w:rPr>
        <w:t xml:space="preserve">, l’élimination </w:t>
      </w:r>
      <w:r w:rsidR="005F3637">
        <w:rPr>
          <w:sz w:val="24"/>
          <w:szCs w:val="24"/>
          <w:lang w:eastAsia="fr-BE"/>
        </w:rPr>
        <w:t xml:space="preserve">urinaire est de l’ordre de 20 à 25% sous forme inchangée et d’environ 12% sous forme de métabolites.  Jusqu’à 5% de la dose administrée est excrétée par le fèces.    La demi-vie d’élimination du </w:t>
      </w:r>
      <w:proofErr w:type="spellStart"/>
      <w:r w:rsidR="005F3637">
        <w:rPr>
          <w:sz w:val="24"/>
          <w:szCs w:val="24"/>
          <w:lang w:eastAsia="fr-BE"/>
        </w:rPr>
        <w:t>tinidazole</w:t>
      </w:r>
      <w:proofErr w:type="spellEnd"/>
      <w:r w:rsidR="005F3637">
        <w:rPr>
          <w:sz w:val="24"/>
          <w:szCs w:val="24"/>
          <w:lang w:eastAsia="fr-BE"/>
        </w:rPr>
        <w:t xml:space="preserve"> est de 12,7 ± 0,5 h.</w:t>
      </w:r>
    </w:p>
    <w:p w14:paraId="11F9D076" w14:textId="77777777" w:rsidR="005F3637" w:rsidRPr="00EE32E5" w:rsidRDefault="005F3637" w:rsidP="0080637F">
      <w:pPr>
        <w:rPr>
          <w:sz w:val="24"/>
          <w:szCs w:val="24"/>
          <w:lang w:eastAsia="fr-BE"/>
        </w:rPr>
      </w:pPr>
    </w:p>
    <w:p w14:paraId="397D80D4" w14:textId="35417768" w:rsidR="001E592A" w:rsidRPr="00EE32E5" w:rsidRDefault="005F3637" w:rsidP="001E592A">
      <w:pPr>
        <w:suppressAutoHyphens/>
        <w:rPr>
          <w:noProof/>
          <w:sz w:val="24"/>
          <w:szCs w:val="24"/>
          <w:u w:val="single"/>
        </w:rPr>
      </w:pPr>
      <w:r w:rsidRPr="00EE32E5">
        <w:rPr>
          <w:noProof/>
          <w:sz w:val="24"/>
          <w:szCs w:val="24"/>
          <w:u w:val="single"/>
        </w:rPr>
        <w:t>Patients atteints d’insuffisance hépatique</w:t>
      </w:r>
    </w:p>
    <w:p w14:paraId="2B8E8F93" w14:textId="507E1BAA" w:rsidR="005F3637" w:rsidRDefault="005F3637" w:rsidP="00EE32E5">
      <w:pPr>
        <w:suppressAutoHyphens/>
        <w:jc w:val="both"/>
        <w:rPr>
          <w:noProof/>
          <w:sz w:val="24"/>
          <w:szCs w:val="24"/>
        </w:rPr>
      </w:pPr>
      <w:r>
        <w:rPr>
          <w:noProof/>
          <w:sz w:val="24"/>
          <w:szCs w:val="24"/>
        </w:rPr>
        <w:t>La pharmacocinétique du tinidazole n’a pas été étudiée chez les patients atteints d’insuffisance hépatique.  Il est connu qu’une quan</w:t>
      </w:r>
      <w:r w:rsidR="00303F19">
        <w:rPr>
          <w:noProof/>
          <w:sz w:val="24"/>
          <w:szCs w:val="24"/>
        </w:rPr>
        <w:t xml:space="preserve">tité </w:t>
      </w:r>
      <w:r w:rsidR="008B67FA">
        <w:rPr>
          <w:noProof/>
          <w:sz w:val="24"/>
          <w:szCs w:val="24"/>
        </w:rPr>
        <w:t>importante de la dose de tinidazole est éliminée par métabolisme hépatique.  En conséquence, la prudence est recommandée lors du traitement de patients atteints d’insuffisance hépatique, en particulier lorsque le médicament est administré pendant une plus longue période (&gt; 5 jours) (voir rubrique 4.2)</w:t>
      </w:r>
      <w:r w:rsidR="007F7E7C">
        <w:rPr>
          <w:noProof/>
          <w:sz w:val="24"/>
          <w:szCs w:val="24"/>
        </w:rPr>
        <w:t>.</w:t>
      </w:r>
    </w:p>
    <w:p w14:paraId="7322E8B7" w14:textId="1D46B642" w:rsidR="008B67FA" w:rsidRDefault="008B67FA" w:rsidP="001E592A">
      <w:pPr>
        <w:suppressAutoHyphens/>
        <w:rPr>
          <w:noProof/>
          <w:sz w:val="24"/>
          <w:szCs w:val="24"/>
        </w:rPr>
      </w:pPr>
    </w:p>
    <w:p w14:paraId="3CCACC88" w14:textId="5992FE6B" w:rsidR="008B67FA" w:rsidRPr="00EE32E5" w:rsidRDefault="008B67FA" w:rsidP="001E592A">
      <w:pPr>
        <w:suppressAutoHyphens/>
        <w:rPr>
          <w:noProof/>
          <w:sz w:val="24"/>
          <w:szCs w:val="24"/>
          <w:u w:val="single"/>
        </w:rPr>
      </w:pPr>
      <w:r w:rsidRPr="00EE32E5">
        <w:rPr>
          <w:noProof/>
          <w:sz w:val="24"/>
          <w:szCs w:val="24"/>
          <w:u w:val="single"/>
        </w:rPr>
        <w:t>Atteinte de la fonction rénale</w:t>
      </w:r>
    </w:p>
    <w:p w14:paraId="4325942F" w14:textId="10F824A0" w:rsidR="005F3637" w:rsidRDefault="008B67FA" w:rsidP="001E592A">
      <w:pPr>
        <w:suppressAutoHyphens/>
        <w:rPr>
          <w:noProof/>
          <w:sz w:val="24"/>
          <w:szCs w:val="24"/>
        </w:rPr>
      </w:pPr>
      <w:r>
        <w:rPr>
          <w:noProof/>
          <w:sz w:val="24"/>
          <w:szCs w:val="24"/>
        </w:rPr>
        <w:t>L’insuffisance rénale modérée à sévère ne modifie pas de façon importante la pharmacocinétique du tinidazole (voir rubrique 4.2)</w:t>
      </w:r>
      <w:r w:rsidR="007F7E7C">
        <w:rPr>
          <w:noProof/>
          <w:sz w:val="24"/>
          <w:szCs w:val="24"/>
        </w:rPr>
        <w:t>.</w:t>
      </w:r>
    </w:p>
    <w:p w14:paraId="1B89C12C" w14:textId="0EC46EC2" w:rsidR="008B67FA" w:rsidRDefault="008B67FA" w:rsidP="001E592A">
      <w:pPr>
        <w:suppressAutoHyphens/>
        <w:rPr>
          <w:noProof/>
          <w:sz w:val="24"/>
          <w:szCs w:val="24"/>
        </w:rPr>
      </w:pPr>
    </w:p>
    <w:p w14:paraId="47EBC6F0" w14:textId="59ED22A7" w:rsidR="008B67FA" w:rsidRPr="00EE32E5" w:rsidRDefault="008B67FA" w:rsidP="008B67FA">
      <w:pPr>
        <w:tabs>
          <w:tab w:val="left" w:pos="567"/>
        </w:tabs>
        <w:suppressAutoHyphens/>
        <w:rPr>
          <w:b/>
          <w:bCs/>
          <w:noProof/>
          <w:sz w:val="24"/>
          <w:szCs w:val="24"/>
        </w:rPr>
      </w:pPr>
      <w:r w:rsidRPr="00EE32E5">
        <w:rPr>
          <w:b/>
          <w:bCs/>
          <w:noProof/>
          <w:sz w:val="24"/>
          <w:szCs w:val="24"/>
        </w:rPr>
        <w:t>5.3</w:t>
      </w:r>
      <w:r w:rsidRPr="00EE32E5">
        <w:rPr>
          <w:b/>
          <w:bCs/>
          <w:noProof/>
          <w:sz w:val="24"/>
          <w:szCs w:val="24"/>
        </w:rPr>
        <w:tab/>
        <w:t>Données de sécurité préclinique</w:t>
      </w:r>
    </w:p>
    <w:p w14:paraId="79574944" w14:textId="24A2A56C" w:rsidR="008B67FA" w:rsidRDefault="008B67FA" w:rsidP="008B67FA">
      <w:pPr>
        <w:tabs>
          <w:tab w:val="left" w:pos="567"/>
        </w:tabs>
        <w:suppressAutoHyphens/>
        <w:rPr>
          <w:noProof/>
          <w:sz w:val="24"/>
          <w:szCs w:val="24"/>
        </w:rPr>
      </w:pPr>
    </w:p>
    <w:p w14:paraId="0EB0F37C" w14:textId="72007AD0" w:rsidR="008B67FA" w:rsidRPr="00EE32E5" w:rsidRDefault="008B67FA" w:rsidP="008B67FA">
      <w:pPr>
        <w:tabs>
          <w:tab w:val="left" w:pos="567"/>
        </w:tabs>
        <w:suppressAutoHyphens/>
        <w:rPr>
          <w:noProof/>
          <w:sz w:val="24"/>
          <w:szCs w:val="24"/>
          <w:u w:val="single"/>
        </w:rPr>
      </w:pPr>
      <w:r w:rsidRPr="00EE32E5">
        <w:rPr>
          <w:noProof/>
          <w:sz w:val="24"/>
          <w:szCs w:val="24"/>
          <w:u w:val="single"/>
        </w:rPr>
        <w:t>Toxicologique en adminstration répétée</w:t>
      </w:r>
    </w:p>
    <w:p w14:paraId="177483D6" w14:textId="0F34E611" w:rsidR="008B67FA" w:rsidRDefault="008B67FA" w:rsidP="00EE32E5">
      <w:pPr>
        <w:tabs>
          <w:tab w:val="left" w:pos="567"/>
        </w:tabs>
        <w:suppressAutoHyphens/>
        <w:jc w:val="both"/>
        <w:rPr>
          <w:noProof/>
          <w:sz w:val="24"/>
          <w:szCs w:val="24"/>
        </w:rPr>
      </w:pPr>
      <w:r>
        <w:rPr>
          <w:noProof/>
          <w:sz w:val="24"/>
          <w:szCs w:val="24"/>
        </w:rPr>
        <w:t>Une étude toxicologique à des doses répétées a été réalisée sur des chiens Beagle qui ont reçu une dose orale de tinidazole à raison de 100 mg/kg/jour, 300 mg/kg/jour et 1 000 mg/kg/jour pendant 28 jours.   Le 18</w:t>
      </w:r>
      <w:r w:rsidRPr="00EE32E5">
        <w:rPr>
          <w:noProof/>
          <w:sz w:val="24"/>
          <w:szCs w:val="24"/>
          <w:vertAlign w:val="superscript"/>
        </w:rPr>
        <w:t>ème</w:t>
      </w:r>
      <w:r>
        <w:rPr>
          <w:noProof/>
          <w:sz w:val="24"/>
          <w:szCs w:val="24"/>
        </w:rPr>
        <w:t xml:space="preserve"> jour de l’étude, la dose la plus élevée a été réduite </w:t>
      </w:r>
      <w:r w:rsidR="007F7E7C">
        <w:rPr>
          <w:noProof/>
          <w:sz w:val="24"/>
          <w:szCs w:val="24"/>
        </w:rPr>
        <w:t>à</w:t>
      </w:r>
      <w:r>
        <w:rPr>
          <w:noProof/>
          <w:sz w:val="24"/>
          <w:szCs w:val="24"/>
        </w:rPr>
        <w:t xml:space="preserve"> 600 mg/kg/jour en raison de signes cliniques sévères.  Les deux effets liés au composant observés chez les chiens traités </w:t>
      </w:r>
      <w:r w:rsidR="00A86852">
        <w:rPr>
          <w:noProof/>
          <w:sz w:val="24"/>
          <w:szCs w:val="24"/>
        </w:rPr>
        <w:t xml:space="preserve">par tinidazole ont été les suivants : augmentation de l’athrophie du thymus chez les deux sexes, aux doses intermédiaires et élevées, et atrophie de la prostate à toutes les doses chez les mâles.  Une dose sans effet toxique observable (NOAEL) de 100 mg/kg/jour a été déterminée chez les femelles.  Aucune </w:t>
      </w:r>
      <w:r w:rsidR="00A86852">
        <w:rPr>
          <w:noProof/>
          <w:sz w:val="24"/>
          <w:szCs w:val="24"/>
        </w:rPr>
        <w:lastRenderedPageBreak/>
        <w:t>NOAEL n’a été identifée pour les mâles en raison d’une atrophie minime de la prostate avec 100 mg/kg/jour (environ 0,9 fois la dosee la plus élevée pour l’homme selon les comparaisons de l’ASC plasmatique).</w:t>
      </w:r>
    </w:p>
    <w:p w14:paraId="757F6EE6" w14:textId="34CE53D5" w:rsidR="00A86852" w:rsidRDefault="00A86852" w:rsidP="008B67FA">
      <w:pPr>
        <w:tabs>
          <w:tab w:val="left" w:pos="567"/>
        </w:tabs>
        <w:suppressAutoHyphens/>
        <w:rPr>
          <w:noProof/>
          <w:sz w:val="24"/>
          <w:szCs w:val="24"/>
        </w:rPr>
      </w:pPr>
    </w:p>
    <w:p w14:paraId="6A72E9F8" w14:textId="3EA0720B" w:rsidR="00A86852" w:rsidRPr="00EE32E5" w:rsidRDefault="00A86852" w:rsidP="008B67FA">
      <w:pPr>
        <w:tabs>
          <w:tab w:val="left" w:pos="567"/>
        </w:tabs>
        <w:suppressAutoHyphens/>
        <w:rPr>
          <w:noProof/>
          <w:sz w:val="24"/>
          <w:szCs w:val="24"/>
          <w:u w:val="single"/>
        </w:rPr>
      </w:pPr>
      <w:r w:rsidRPr="00EE32E5">
        <w:rPr>
          <w:noProof/>
          <w:sz w:val="24"/>
          <w:szCs w:val="24"/>
          <w:u w:val="single"/>
        </w:rPr>
        <w:t>Mutagénicité/carcinogénicité</w:t>
      </w:r>
    </w:p>
    <w:p w14:paraId="5D2C9046" w14:textId="429148AC" w:rsidR="00A86852" w:rsidRDefault="00A86852" w:rsidP="00EE32E5">
      <w:pPr>
        <w:tabs>
          <w:tab w:val="left" w:pos="567"/>
        </w:tabs>
        <w:suppressAutoHyphens/>
        <w:jc w:val="both"/>
        <w:rPr>
          <w:noProof/>
          <w:sz w:val="24"/>
          <w:szCs w:val="24"/>
        </w:rPr>
      </w:pPr>
      <w:r>
        <w:rPr>
          <w:noProof/>
          <w:sz w:val="24"/>
          <w:szCs w:val="24"/>
        </w:rPr>
        <w:t>Le tinidazole a montré certains signes de potentiel mutagène.  Dans un essai in vitro de mutagénicité, le tinidazole s’est avéré mutagène dans certaines souches bactériennes aussi bien que sans sytème d’activation métabolique.  Le tinidazole était négatif pour la mutagénicité dans des cultures de cellules mammifères utilisant les cellules pulmonaires V79 du hamster chinois (système de test HGPRT) et était négatif pour la génotoxicité dans l’essai d’échange de chromatides-sœurs dans les cellules ovariennes d</w:t>
      </w:r>
      <w:r w:rsidR="00750CAF">
        <w:rPr>
          <w:noProof/>
          <w:sz w:val="24"/>
          <w:szCs w:val="24"/>
        </w:rPr>
        <w:t>e l’hamster chinois (CHO).</w:t>
      </w:r>
      <w:r>
        <w:rPr>
          <w:noProof/>
          <w:sz w:val="24"/>
          <w:szCs w:val="24"/>
        </w:rPr>
        <w:t xml:space="preserve"> Le tinidazole était positif pour la génotoxicité </w:t>
      </w:r>
      <w:r w:rsidRPr="00EE32E5">
        <w:rPr>
          <w:i/>
          <w:iCs/>
          <w:noProof/>
          <w:sz w:val="24"/>
          <w:szCs w:val="24"/>
        </w:rPr>
        <w:t>in vivo</w:t>
      </w:r>
      <w:r>
        <w:rPr>
          <w:noProof/>
          <w:sz w:val="24"/>
          <w:szCs w:val="24"/>
        </w:rPr>
        <w:t xml:space="preserve"> dans l’essai sur</w:t>
      </w:r>
      <w:r w:rsidR="00750CAF">
        <w:rPr>
          <w:noProof/>
          <w:sz w:val="24"/>
          <w:szCs w:val="24"/>
        </w:rPr>
        <w:t xml:space="preserve"> les micronoyaux de la souris. </w:t>
      </w:r>
      <w:r>
        <w:rPr>
          <w:noProof/>
          <w:sz w:val="24"/>
          <w:szCs w:val="24"/>
        </w:rPr>
        <w:t>Aucune étude de carcinogénicité du tinidazole chez le rat, la souris ou</w:t>
      </w:r>
      <w:r w:rsidR="00750CAF">
        <w:rPr>
          <w:noProof/>
          <w:sz w:val="24"/>
          <w:szCs w:val="24"/>
        </w:rPr>
        <w:t xml:space="preserve"> le hamster n’a été rapportée. </w:t>
      </w:r>
      <w:r>
        <w:rPr>
          <w:noProof/>
          <w:sz w:val="24"/>
          <w:szCs w:val="24"/>
        </w:rPr>
        <w:t>Cependant, le métron</w:t>
      </w:r>
      <w:r w:rsidR="00750CAF">
        <w:rPr>
          <w:noProof/>
          <w:sz w:val="24"/>
          <w:szCs w:val="24"/>
        </w:rPr>
        <w:t>idazole (un autre</w:t>
      </w:r>
      <w:r>
        <w:rPr>
          <w:noProof/>
          <w:sz w:val="24"/>
          <w:szCs w:val="24"/>
        </w:rPr>
        <w:t xml:space="preserve"> </w:t>
      </w:r>
      <w:r w:rsidR="00750CAF">
        <w:rPr>
          <w:noProof/>
          <w:sz w:val="24"/>
          <w:szCs w:val="24"/>
        </w:rPr>
        <w:t>agent 5-nitroimidazolé)</w:t>
      </w:r>
      <w:r>
        <w:rPr>
          <w:noProof/>
          <w:sz w:val="24"/>
          <w:szCs w:val="24"/>
        </w:rPr>
        <w:t>, s’est avéré carcinogène chez la souris et le r</w:t>
      </w:r>
      <w:r w:rsidR="00750CAF">
        <w:rPr>
          <w:noProof/>
          <w:sz w:val="24"/>
          <w:szCs w:val="24"/>
        </w:rPr>
        <w:t xml:space="preserve">at, mais pas chez le hamster. </w:t>
      </w:r>
      <w:r>
        <w:rPr>
          <w:noProof/>
          <w:sz w:val="24"/>
          <w:szCs w:val="24"/>
        </w:rPr>
        <w:t>Dans plusieurs études, le métronidazole a montré des signes d’oncogenèse pulmonaire, hépatique et lymphatique chez la souris et de tumeurs mammaires et hépatiques chez la rate.</w:t>
      </w:r>
    </w:p>
    <w:p w14:paraId="6A3B778B" w14:textId="77777777" w:rsidR="00A86852" w:rsidRDefault="00A86852" w:rsidP="008B67FA">
      <w:pPr>
        <w:tabs>
          <w:tab w:val="left" w:pos="567"/>
        </w:tabs>
        <w:suppressAutoHyphens/>
        <w:rPr>
          <w:noProof/>
          <w:sz w:val="24"/>
          <w:szCs w:val="24"/>
        </w:rPr>
      </w:pPr>
    </w:p>
    <w:p w14:paraId="2C43EE7B" w14:textId="04B7C5C5" w:rsidR="00A86852" w:rsidRPr="00EE32E5" w:rsidRDefault="00973163" w:rsidP="008B67FA">
      <w:pPr>
        <w:tabs>
          <w:tab w:val="left" w:pos="567"/>
        </w:tabs>
        <w:suppressAutoHyphens/>
        <w:rPr>
          <w:noProof/>
          <w:sz w:val="24"/>
          <w:szCs w:val="24"/>
          <w:u w:val="single"/>
        </w:rPr>
      </w:pPr>
      <w:r w:rsidRPr="00EE32E5">
        <w:rPr>
          <w:noProof/>
          <w:sz w:val="24"/>
          <w:szCs w:val="24"/>
          <w:u w:val="single"/>
        </w:rPr>
        <w:t>Toxicité sur la reproduction</w:t>
      </w:r>
    </w:p>
    <w:p w14:paraId="127AE185" w14:textId="4F4A6C8D" w:rsidR="007952AF" w:rsidRDefault="00973163" w:rsidP="008B67FA">
      <w:pPr>
        <w:tabs>
          <w:tab w:val="left" w:pos="567"/>
        </w:tabs>
        <w:suppressAutoHyphens/>
        <w:rPr>
          <w:noProof/>
          <w:sz w:val="24"/>
          <w:szCs w:val="24"/>
        </w:rPr>
      </w:pPr>
      <w:r>
        <w:rPr>
          <w:noProof/>
          <w:sz w:val="24"/>
          <w:szCs w:val="24"/>
        </w:rPr>
        <w:t>Le tinidazole n’a pas causé de malformations chez la souris ni chez le rat.  Une étude de toxicité sur le développement embryofœtal chez des souris gravides n’a révelé aucune toxicité embryo</w:t>
      </w:r>
      <w:r w:rsidR="00D70922">
        <w:rPr>
          <w:noProof/>
          <w:sz w:val="24"/>
          <w:szCs w:val="24"/>
        </w:rPr>
        <w:t>fœtal</w:t>
      </w:r>
      <w:r>
        <w:rPr>
          <w:noProof/>
          <w:sz w:val="24"/>
          <w:szCs w:val="24"/>
        </w:rPr>
        <w:t>e à la dos</w:t>
      </w:r>
      <w:r w:rsidR="00750CAF">
        <w:rPr>
          <w:noProof/>
          <w:sz w:val="24"/>
          <w:szCs w:val="24"/>
        </w:rPr>
        <w:t>e la plus élevée de 2 500 mg/kg</w:t>
      </w:r>
      <w:bookmarkStart w:id="0" w:name="_GoBack"/>
      <w:bookmarkEnd w:id="0"/>
      <w:r>
        <w:rPr>
          <w:noProof/>
          <w:sz w:val="24"/>
          <w:szCs w:val="24"/>
        </w:rPr>
        <w:t xml:space="preserve"> (environ 6,3 fois la dose thérapeutique la plus élevée chez l’homme, en fonction des conversions de l’aire de surface corporelle).  Lors d’une étude de toxicité sur le développement embryo</w:t>
      </w:r>
      <w:r w:rsidR="00D70922">
        <w:rPr>
          <w:noProof/>
          <w:sz w:val="24"/>
          <w:szCs w:val="24"/>
        </w:rPr>
        <w:t>fœtal</w:t>
      </w:r>
      <w:r>
        <w:rPr>
          <w:noProof/>
          <w:sz w:val="24"/>
          <w:szCs w:val="24"/>
        </w:rPr>
        <w:t xml:space="preserve"> chez des rates gravides, il a été constaté une diminution de la viabilité embryo</w:t>
      </w:r>
      <w:r w:rsidR="00D70922">
        <w:rPr>
          <w:noProof/>
          <w:sz w:val="24"/>
          <w:szCs w:val="24"/>
        </w:rPr>
        <w:t>fœtal</w:t>
      </w:r>
      <w:r>
        <w:rPr>
          <w:noProof/>
          <w:sz w:val="24"/>
          <w:szCs w:val="24"/>
        </w:rPr>
        <w:t>e aux doses de 500 et 2 000 mg/kg/jour ainsi qu’un retard de croissance (diminution du poids fœtal et augmentation des variations du squelette) aux doses de 500 mg/kg/jour (2,5 fois la dose corporelle).  Lors d’une étude de toxicité sur le développement chez des rates gravides qui ont reçu du tinidazole du 1</w:t>
      </w:r>
      <w:r w:rsidRPr="00EE32E5">
        <w:rPr>
          <w:noProof/>
          <w:sz w:val="24"/>
          <w:szCs w:val="24"/>
          <w:vertAlign w:val="superscript"/>
        </w:rPr>
        <w:t>er</w:t>
      </w:r>
      <w:r>
        <w:rPr>
          <w:noProof/>
          <w:sz w:val="24"/>
          <w:szCs w:val="24"/>
        </w:rPr>
        <w:t xml:space="preserve"> au 21</w:t>
      </w:r>
      <w:r w:rsidRPr="00EE32E5">
        <w:rPr>
          <w:noProof/>
          <w:sz w:val="24"/>
          <w:szCs w:val="24"/>
          <w:vertAlign w:val="superscript"/>
        </w:rPr>
        <w:t>ème</w:t>
      </w:r>
      <w:r>
        <w:rPr>
          <w:noProof/>
          <w:sz w:val="24"/>
          <w:szCs w:val="24"/>
        </w:rPr>
        <w:t xml:space="preserve"> jour de gestation et qui ont pu mettre bas et élever leur progéniture, une incidence plus importante de la mortalité fœtale a été constatée aux doses de 600 mg/kg ; la NOAEL pour la toxicité sur le développement a été établie à 300 mg/kg.</w:t>
      </w:r>
    </w:p>
    <w:p w14:paraId="6663F059" w14:textId="77777777" w:rsidR="007952AF" w:rsidRDefault="007952AF" w:rsidP="008B67FA">
      <w:pPr>
        <w:tabs>
          <w:tab w:val="left" w:pos="567"/>
        </w:tabs>
        <w:suppressAutoHyphens/>
        <w:rPr>
          <w:noProof/>
          <w:sz w:val="24"/>
          <w:szCs w:val="24"/>
        </w:rPr>
      </w:pPr>
    </w:p>
    <w:p w14:paraId="192AC1E1" w14:textId="2117262F" w:rsidR="00973163" w:rsidRDefault="007952AF" w:rsidP="008B67FA">
      <w:pPr>
        <w:tabs>
          <w:tab w:val="left" w:pos="567"/>
        </w:tabs>
        <w:suppressAutoHyphens/>
        <w:rPr>
          <w:noProof/>
          <w:sz w:val="24"/>
          <w:szCs w:val="24"/>
        </w:rPr>
      </w:pPr>
      <w:r>
        <w:rPr>
          <w:noProof/>
          <w:sz w:val="24"/>
          <w:szCs w:val="24"/>
        </w:rPr>
        <w:t xml:space="preserve">Lors d’une étude sur la fertilité masculine chez les rats traités avec du tinidazole, la fertilité a été réduite aux doses de 600 mg/kg/jour.  Une dégénérescence des tubes séminifères dans les testicules, ainsi que les effets correspondants sur les mesures de la spermatogenèse ont été constatés aux doses de 300 et 600 mg/kg/jour.  La dose sans effet toxique observable (NOAEL) concernant les effets sur les </w:t>
      </w:r>
      <w:r w:rsidR="00FA5C4F">
        <w:rPr>
          <w:noProof/>
          <w:sz w:val="24"/>
          <w:szCs w:val="24"/>
        </w:rPr>
        <w:t>testicules et la spermatogenèse a été établie à 100 mg/kg/jour (environ 0,5 fois la dose thérapeutique la plus élevée chez l’homme, en fonction des conversions de l’aire de surface corporelle).  Dans une autre étude sur la fertilité, une diminution de la fertilité a été constatée chez des rats mâles à la dose de 300 mg/kg/jour et chez les femelles aux doses de 150 et 300 mg/kg/jour après 20 jours d’administration du produit.</w:t>
      </w:r>
      <w:r>
        <w:rPr>
          <w:noProof/>
          <w:sz w:val="24"/>
          <w:szCs w:val="24"/>
        </w:rPr>
        <w:t xml:space="preserve"> </w:t>
      </w:r>
    </w:p>
    <w:p w14:paraId="1261866B" w14:textId="77777777" w:rsidR="008B67FA" w:rsidRPr="00EE32E5" w:rsidRDefault="008B67FA" w:rsidP="00EE32E5">
      <w:pPr>
        <w:tabs>
          <w:tab w:val="left" w:pos="567"/>
        </w:tabs>
        <w:suppressAutoHyphens/>
        <w:rPr>
          <w:noProof/>
          <w:sz w:val="24"/>
          <w:szCs w:val="24"/>
        </w:rPr>
      </w:pPr>
    </w:p>
    <w:p w14:paraId="1EC4186A" w14:textId="77777777" w:rsidR="001E592A" w:rsidRPr="00EE32E5" w:rsidRDefault="001E592A" w:rsidP="001E592A">
      <w:pPr>
        <w:suppressAutoHyphens/>
        <w:ind w:left="567" w:hanging="567"/>
        <w:rPr>
          <w:b/>
          <w:noProof/>
          <w:sz w:val="24"/>
          <w:szCs w:val="24"/>
        </w:rPr>
      </w:pPr>
      <w:r w:rsidRPr="00EE32E5">
        <w:rPr>
          <w:b/>
          <w:noProof/>
          <w:sz w:val="24"/>
          <w:szCs w:val="24"/>
        </w:rPr>
        <w:t>6.</w:t>
      </w:r>
      <w:r w:rsidRPr="00EE32E5">
        <w:rPr>
          <w:b/>
          <w:noProof/>
          <w:sz w:val="24"/>
          <w:szCs w:val="24"/>
        </w:rPr>
        <w:tab/>
        <w:t>DONNEES PHARMACEUTIQUES</w:t>
      </w:r>
    </w:p>
    <w:p w14:paraId="63E9545A" w14:textId="77777777" w:rsidR="001E592A" w:rsidRPr="00EE32E5" w:rsidRDefault="001E592A" w:rsidP="001E592A">
      <w:pPr>
        <w:suppressAutoHyphens/>
        <w:rPr>
          <w:noProof/>
          <w:sz w:val="24"/>
          <w:szCs w:val="24"/>
        </w:rPr>
      </w:pPr>
    </w:p>
    <w:p w14:paraId="0955E33B" w14:textId="77777777" w:rsidR="001E592A" w:rsidRPr="00EE32E5" w:rsidRDefault="001E592A" w:rsidP="001E592A">
      <w:pPr>
        <w:suppressAutoHyphens/>
        <w:ind w:left="567" w:hanging="567"/>
        <w:rPr>
          <w:b/>
          <w:noProof/>
          <w:sz w:val="24"/>
          <w:szCs w:val="24"/>
        </w:rPr>
      </w:pPr>
      <w:r w:rsidRPr="00EE32E5">
        <w:rPr>
          <w:b/>
          <w:noProof/>
          <w:sz w:val="24"/>
          <w:szCs w:val="24"/>
        </w:rPr>
        <w:t>6.1</w:t>
      </w:r>
      <w:r w:rsidRPr="00EE32E5">
        <w:rPr>
          <w:b/>
          <w:noProof/>
          <w:sz w:val="24"/>
          <w:szCs w:val="24"/>
        </w:rPr>
        <w:tab/>
        <w:t>Liste des excipients</w:t>
      </w:r>
    </w:p>
    <w:p w14:paraId="3EFAFC71" w14:textId="77777777" w:rsidR="0080637F" w:rsidRPr="00EE32E5" w:rsidRDefault="002615F4" w:rsidP="0080637F">
      <w:pPr>
        <w:rPr>
          <w:sz w:val="24"/>
          <w:szCs w:val="24"/>
        </w:rPr>
      </w:pPr>
      <w:r w:rsidRPr="00EE32E5">
        <w:rPr>
          <w:sz w:val="24"/>
          <w:szCs w:val="24"/>
        </w:rPr>
        <w:t>Pour</w:t>
      </w:r>
      <w:r w:rsidR="0080637F" w:rsidRPr="00EE32E5">
        <w:rPr>
          <w:sz w:val="24"/>
          <w:szCs w:val="24"/>
        </w:rPr>
        <w:t xml:space="preserve"> un comprimé pelliculé :</w:t>
      </w:r>
    </w:p>
    <w:p w14:paraId="3DB342C2" w14:textId="77777777" w:rsidR="0080637F" w:rsidRPr="00EE32E5" w:rsidRDefault="0080637F" w:rsidP="0080637F">
      <w:pPr>
        <w:rPr>
          <w:i/>
          <w:sz w:val="24"/>
          <w:szCs w:val="24"/>
        </w:rPr>
      </w:pPr>
      <w:r w:rsidRPr="00EE32E5">
        <w:rPr>
          <w:i/>
          <w:sz w:val="24"/>
          <w:szCs w:val="24"/>
        </w:rPr>
        <w:t xml:space="preserve">Amidon de maïs, cellulose microcristalline, </w:t>
      </w:r>
      <w:proofErr w:type="spellStart"/>
      <w:r w:rsidRPr="00EE32E5">
        <w:rPr>
          <w:i/>
          <w:sz w:val="24"/>
          <w:szCs w:val="24"/>
        </w:rPr>
        <w:t>parahydroxybenzoate</w:t>
      </w:r>
      <w:proofErr w:type="spellEnd"/>
      <w:r w:rsidRPr="00EE32E5">
        <w:rPr>
          <w:i/>
          <w:sz w:val="24"/>
          <w:szCs w:val="24"/>
        </w:rPr>
        <w:t xml:space="preserve"> de méthyle sodique (E219), </w:t>
      </w:r>
      <w:proofErr w:type="spellStart"/>
      <w:r w:rsidRPr="00EE32E5">
        <w:rPr>
          <w:i/>
          <w:sz w:val="24"/>
          <w:szCs w:val="24"/>
        </w:rPr>
        <w:t>parahydroxybenzoate</w:t>
      </w:r>
      <w:proofErr w:type="spellEnd"/>
      <w:r w:rsidRPr="00EE32E5">
        <w:rPr>
          <w:i/>
          <w:sz w:val="24"/>
          <w:szCs w:val="24"/>
        </w:rPr>
        <w:t xml:space="preserve"> de </w:t>
      </w:r>
      <w:proofErr w:type="spellStart"/>
      <w:r w:rsidRPr="00EE32E5">
        <w:rPr>
          <w:i/>
          <w:sz w:val="24"/>
          <w:szCs w:val="24"/>
        </w:rPr>
        <w:t>propyle</w:t>
      </w:r>
      <w:proofErr w:type="spellEnd"/>
      <w:r w:rsidRPr="00EE32E5">
        <w:rPr>
          <w:i/>
          <w:sz w:val="24"/>
          <w:szCs w:val="24"/>
        </w:rPr>
        <w:t xml:space="preserve"> sodique (E21</w:t>
      </w:r>
      <w:r w:rsidR="002615F4" w:rsidRPr="00EE32E5">
        <w:rPr>
          <w:i/>
          <w:sz w:val="24"/>
          <w:szCs w:val="24"/>
        </w:rPr>
        <w:t>7)</w:t>
      </w:r>
      <w:r w:rsidRPr="00EE32E5">
        <w:rPr>
          <w:i/>
          <w:sz w:val="24"/>
          <w:szCs w:val="24"/>
        </w:rPr>
        <w:t>, talc purifié, s</w:t>
      </w:r>
      <w:r w:rsidR="002615F4" w:rsidRPr="00EE32E5">
        <w:rPr>
          <w:i/>
          <w:sz w:val="24"/>
          <w:szCs w:val="24"/>
        </w:rPr>
        <w:t>téarate de magnésium, silice colloïdale anhydre</w:t>
      </w:r>
      <w:r w:rsidRPr="00EE32E5">
        <w:rPr>
          <w:i/>
          <w:sz w:val="24"/>
          <w:szCs w:val="24"/>
        </w:rPr>
        <w:t xml:space="preserve">, </w:t>
      </w:r>
      <w:proofErr w:type="spellStart"/>
      <w:r w:rsidR="002615F4" w:rsidRPr="00EE32E5">
        <w:rPr>
          <w:i/>
          <w:sz w:val="24"/>
          <w:szCs w:val="24"/>
        </w:rPr>
        <w:t>hypromellose</w:t>
      </w:r>
      <w:proofErr w:type="spellEnd"/>
      <w:r w:rsidRPr="00EE32E5">
        <w:rPr>
          <w:i/>
          <w:sz w:val="24"/>
          <w:szCs w:val="24"/>
        </w:rPr>
        <w:t>,</w:t>
      </w:r>
      <w:r w:rsidR="002615F4" w:rsidRPr="00EE32E5">
        <w:rPr>
          <w:i/>
          <w:sz w:val="24"/>
          <w:szCs w:val="24"/>
        </w:rPr>
        <w:t xml:space="preserve"> d</w:t>
      </w:r>
      <w:r w:rsidRPr="00EE32E5">
        <w:rPr>
          <w:i/>
          <w:sz w:val="24"/>
          <w:szCs w:val="24"/>
        </w:rPr>
        <w:t>ioxyde de titane</w:t>
      </w:r>
      <w:r w:rsidR="002615F4" w:rsidRPr="00EE32E5">
        <w:rPr>
          <w:i/>
          <w:sz w:val="24"/>
          <w:szCs w:val="24"/>
        </w:rPr>
        <w:t xml:space="preserve"> (E171), p</w:t>
      </w:r>
      <w:r w:rsidRPr="00EE32E5">
        <w:rPr>
          <w:i/>
          <w:sz w:val="24"/>
          <w:szCs w:val="24"/>
        </w:rPr>
        <w:t xml:space="preserve">olyéthylène glycol 6000. </w:t>
      </w:r>
    </w:p>
    <w:p w14:paraId="2114DFCD" w14:textId="77777777" w:rsidR="001E592A" w:rsidRPr="00EE32E5" w:rsidRDefault="001E592A" w:rsidP="001E592A">
      <w:pPr>
        <w:suppressAutoHyphens/>
        <w:rPr>
          <w:noProof/>
          <w:sz w:val="24"/>
          <w:szCs w:val="24"/>
        </w:rPr>
      </w:pPr>
    </w:p>
    <w:p w14:paraId="38DA6E5A" w14:textId="77777777" w:rsidR="001E592A" w:rsidRPr="00EE32E5" w:rsidRDefault="001E592A" w:rsidP="001E592A">
      <w:pPr>
        <w:suppressAutoHyphens/>
        <w:ind w:left="567" w:hanging="567"/>
        <w:rPr>
          <w:b/>
          <w:noProof/>
          <w:sz w:val="24"/>
          <w:szCs w:val="24"/>
        </w:rPr>
      </w:pPr>
      <w:r w:rsidRPr="00EE32E5">
        <w:rPr>
          <w:b/>
          <w:noProof/>
          <w:sz w:val="24"/>
          <w:szCs w:val="24"/>
        </w:rPr>
        <w:t>6.2</w:t>
      </w:r>
      <w:r w:rsidRPr="00EE32E5">
        <w:rPr>
          <w:b/>
          <w:noProof/>
          <w:sz w:val="24"/>
          <w:szCs w:val="24"/>
        </w:rPr>
        <w:tab/>
        <w:t>Incompatibilités</w:t>
      </w:r>
    </w:p>
    <w:p w14:paraId="2EC832FC" w14:textId="77777777" w:rsidR="001E592A" w:rsidRPr="00EE32E5" w:rsidRDefault="002615F4" w:rsidP="001E592A">
      <w:pPr>
        <w:suppressAutoHyphens/>
        <w:rPr>
          <w:noProof/>
          <w:sz w:val="24"/>
          <w:szCs w:val="24"/>
        </w:rPr>
      </w:pPr>
      <w:r w:rsidRPr="00EE32E5">
        <w:rPr>
          <w:noProof/>
          <w:sz w:val="24"/>
          <w:szCs w:val="24"/>
        </w:rPr>
        <w:t>Sans objet.</w:t>
      </w:r>
    </w:p>
    <w:p w14:paraId="5158C18A" w14:textId="77777777" w:rsidR="001E592A" w:rsidRPr="00EE32E5" w:rsidRDefault="001E592A" w:rsidP="001E592A">
      <w:pPr>
        <w:suppressAutoHyphens/>
        <w:ind w:left="567" w:hanging="567"/>
        <w:rPr>
          <w:noProof/>
          <w:sz w:val="24"/>
          <w:szCs w:val="24"/>
        </w:rPr>
      </w:pPr>
    </w:p>
    <w:p w14:paraId="5505BCB9" w14:textId="77777777" w:rsidR="001E592A" w:rsidRPr="00EE32E5" w:rsidRDefault="001E592A" w:rsidP="001E592A">
      <w:pPr>
        <w:suppressAutoHyphens/>
        <w:ind w:left="567" w:hanging="567"/>
        <w:rPr>
          <w:noProof/>
          <w:sz w:val="24"/>
          <w:szCs w:val="24"/>
        </w:rPr>
      </w:pPr>
      <w:r w:rsidRPr="00EE32E5">
        <w:rPr>
          <w:b/>
          <w:noProof/>
          <w:sz w:val="24"/>
          <w:szCs w:val="24"/>
        </w:rPr>
        <w:t>6.3</w:t>
      </w:r>
      <w:r w:rsidRPr="00EE32E5">
        <w:rPr>
          <w:b/>
          <w:noProof/>
          <w:sz w:val="24"/>
          <w:szCs w:val="24"/>
        </w:rPr>
        <w:tab/>
        <w:t>Durée de conservation</w:t>
      </w:r>
    </w:p>
    <w:p w14:paraId="5825ED22" w14:textId="77777777" w:rsidR="001E592A" w:rsidRPr="00EE32E5" w:rsidRDefault="002615F4" w:rsidP="001E592A">
      <w:pPr>
        <w:suppressAutoHyphens/>
        <w:rPr>
          <w:noProof/>
          <w:sz w:val="24"/>
          <w:szCs w:val="24"/>
        </w:rPr>
      </w:pPr>
      <w:r w:rsidRPr="00EE32E5">
        <w:rPr>
          <w:noProof/>
          <w:sz w:val="24"/>
          <w:szCs w:val="24"/>
        </w:rPr>
        <w:t>3 ans</w:t>
      </w:r>
    </w:p>
    <w:p w14:paraId="420708B8" w14:textId="77777777" w:rsidR="001E592A" w:rsidRPr="00EE32E5" w:rsidRDefault="001E592A" w:rsidP="001E592A">
      <w:pPr>
        <w:suppressAutoHyphens/>
        <w:rPr>
          <w:noProof/>
          <w:sz w:val="24"/>
          <w:szCs w:val="24"/>
        </w:rPr>
      </w:pPr>
    </w:p>
    <w:p w14:paraId="22E64CBE" w14:textId="77777777" w:rsidR="001E592A" w:rsidRPr="00EE32E5" w:rsidRDefault="001E592A" w:rsidP="001E592A">
      <w:pPr>
        <w:suppressAutoHyphens/>
        <w:ind w:left="567" w:hanging="567"/>
        <w:rPr>
          <w:b/>
          <w:noProof/>
          <w:sz w:val="24"/>
          <w:szCs w:val="24"/>
        </w:rPr>
      </w:pPr>
      <w:r w:rsidRPr="00EE32E5">
        <w:rPr>
          <w:b/>
          <w:noProof/>
          <w:sz w:val="24"/>
          <w:szCs w:val="24"/>
        </w:rPr>
        <w:t>6.4</w:t>
      </w:r>
      <w:r w:rsidRPr="00EE32E5">
        <w:rPr>
          <w:b/>
          <w:noProof/>
          <w:sz w:val="24"/>
          <w:szCs w:val="24"/>
        </w:rPr>
        <w:tab/>
        <w:t>Précautions particulières de conservation</w:t>
      </w:r>
    </w:p>
    <w:p w14:paraId="781ADCF4" w14:textId="77777777" w:rsidR="001E592A" w:rsidRPr="00EE32E5" w:rsidRDefault="002615F4" w:rsidP="001E592A">
      <w:pPr>
        <w:suppressAutoHyphens/>
        <w:rPr>
          <w:noProof/>
          <w:sz w:val="24"/>
          <w:szCs w:val="24"/>
        </w:rPr>
      </w:pPr>
      <w:r w:rsidRPr="00EE32E5">
        <w:rPr>
          <w:noProof/>
          <w:sz w:val="24"/>
          <w:szCs w:val="24"/>
        </w:rPr>
        <w:t xml:space="preserve">Conserver dans l’emballage dorigine à l’abri de la chaleur, de la lumière et de l’humidité. </w:t>
      </w:r>
    </w:p>
    <w:p w14:paraId="399B64DE" w14:textId="77777777" w:rsidR="002615F4" w:rsidRPr="00EE32E5" w:rsidRDefault="002615F4" w:rsidP="001E592A">
      <w:pPr>
        <w:suppressAutoHyphens/>
        <w:rPr>
          <w:noProof/>
          <w:sz w:val="24"/>
          <w:szCs w:val="24"/>
        </w:rPr>
      </w:pPr>
      <w:r w:rsidRPr="00EE32E5">
        <w:rPr>
          <w:noProof/>
          <w:sz w:val="24"/>
          <w:szCs w:val="24"/>
        </w:rPr>
        <w:t>Stocker en dessous de 30°C.</w:t>
      </w:r>
    </w:p>
    <w:p w14:paraId="1979659A" w14:textId="77777777" w:rsidR="002615F4" w:rsidRPr="00EE32E5" w:rsidRDefault="002615F4" w:rsidP="001E592A">
      <w:pPr>
        <w:suppressAutoHyphens/>
        <w:rPr>
          <w:noProof/>
          <w:sz w:val="24"/>
          <w:szCs w:val="24"/>
        </w:rPr>
      </w:pPr>
      <w:r w:rsidRPr="00EE32E5">
        <w:rPr>
          <w:noProof/>
          <w:sz w:val="24"/>
          <w:szCs w:val="24"/>
        </w:rPr>
        <w:t>Tenir hors de la portée et de la vue des enfants.</w:t>
      </w:r>
    </w:p>
    <w:p w14:paraId="613B8D53" w14:textId="77777777" w:rsidR="002615F4" w:rsidRPr="00EE32E5" w:rsidRDefault="002615F4" w:rsidP="001E592A">
      <w:pPr>
        <w:suppressAutoHyphens/>
        <w:rPr>
          <w:noProof/>
          <w:sz w:val="24"/>
          <w:szCs w:val="24"/>
        </w:rPr>
      </w:pPr>
    </w:p>
    <w:p w14:paraId="44A994D3" w14:textId="77777777" w:rsidR="001E592A" w:rsidRPr="00EE32E5" w:rsidRDefault="001E592A" w:rsidP="001E592A">
      <w:pPr>
        <w:suppressAutoHyphens/>
        <w:ind w:left="567" w:hanging="567"/>
        <w:rPr>
          <w:b/>
          <w:noProof/>
          <w:sz w:val="24"/>
          <w:szCs w:val="24"/>
        </w:rPr>
      </w:pPr>
      <w:r w:rsidRPr="00EE32E5">
        <w:rPr>
          <w:b/>
          <w:noProof/>
          <w:sz w:val="24"/>
          <w:szCs w:val="24"/>
        </w:rPr>
        <w:t>6.5</w:t>
      </w:r>
      <w:r w:rsidRPr="00EE32E5">
        <w:rPr>
          <w:b/>
          <w:noProof/>
          <w:sz w:val="24"/>
          <w:szCs w:val="24"/>
        </w:rPr>
        <w:tab/>
        <w:t>Nature et contenu de l’emballage extérieur</w:t>
      </w:r>
    </w:p>
    <w:p w14:paraId="38BF3D2B" w14:textId="77777777" w:rsidR="001E592A" w:rsidRPr="00EE32E5" w:rsidRDefault="002615F4" w:rsidP="001E592A">
      <w:pPr>
        <w:suppressAutoHyphens/>
        <w:rPr>
          <w:noProof/>
          <w:sz w:val="24"/>
          <w:szCs w:val="24"/>
        </w:rPr>
      </w:pPr>
      <w:r w:rsidRPr="00EE32E5">
        <w:rPr>
          <w:noProof/>
          <w:sz w:val="24"/>
          <w:szCs w:val="24"/>
        </w:rPr>
        <w:t>Boite de 4 comprimés p</w:t>
      </w:r>
      <w:r w:rsidR="00FD1FB1" w:rsidRPr="00EE32E5">
        <w:rPr>
          <w:noProof/>
          <w:sz w:val="24"/>
          <w:szCs w:val="24"/>
        </w:rPr>
        <w:t>e</w:t>
      </w:r>
      <w:r w:rsidRPr="00EE32E5">
        <w:rPr>
          <w:noProof/>
          <w:sz w:val="24"/>
          <w:szCs w:val="24"/>
        </w:rPr>
        <w:t>lliculés sous plaquette thermoformée</w:t>
      </w:r>
      <w:r w:rsidR="00CA4C37" w:rsidRPr="00EE32E5">
        <w:rPr>
          <w:noProof/>
          <w:sz w:val="24"/>
          <w:szCs w:val="24"/>
        </w:rPr>
        <w:t xml:space="preserve"> (PVC-Aluminium)</w:t>
      </w:r>
    </w:p>
    <w:p w14:paraId="1B9A5E49" w14:textId="77777777" w:rsidR="001E592A" w:rsidRPr="00EE32E5" w:rsidRDefault="001E592A" w:rsidP="001E592A">
      <w:pPr>
        <w:suppressAutoHyphens/>
        <w:rPr>
          <w:noProof/>
          <w:sz w:val="24"/>
          <w:szCs w:val="24"/>
        </w:rPr>
      </w:pPr>
    </w:p>
    <w:p w14:paraId="0C1FCAD3" w14:textId="77777777" w:rsidR="001E592A" w:rsidRPr="00EE32E5" w:rsidRDefault="001E592A" w:rsidP="001E592A">
      <w:pPr>
        <w:suppressAutoHyphens/>
        <w:ind w:left="567" w:hanging="567"/>
        <w:rPr>
          <w:b/>
          <w:noProof/>
          <w:sz w:val="24"/>
          <w:szCs w:val="24"/>
        </w:rPr>
      </w:pPr>
      <w:r w:rsidRPr="00EE32E5">
        <w:rPr>
          <w:b/>
          <w:noProof/>
          <w:sz w:val="24"/>
          <w:szCs w:val="24"/>
        </w:rPr>
        <w:t>6.6</w:t>
      </w:r>
      <w:r w:rsidRPr="00EE32E5">
        <w:rPr>
          <w:b/>
          <w:noProof/>
          <w:sz w:val="24"/>
          <w:szCs w:val="24"/>
        </w:rPr>
        <w:tab/>
        <w:t>Précautio</w:t>
      </w:r>
      <w:r w:rsidR="002615F4" w:rsidRPr="00EE32E5">
        <w:rPr>
          <w:b/>
          <w:noProof/>
          <w:sz w:val="24"/>
          <w:szCs w:val="24"/>
        </w:rPr>
        <w:t xml:space="preserve">ns particulières d’élimination </w:t>
      </w:r>
      <w:r w:rsidR="00235B76" w:rsidRPr="00EE32E5">
        <w:rPr>
          <w:b/>
          <w:noProof/>
          <w:sz w:val="24"/>
          <w:szCs w:val="24"/>
        </w:rPr>
        <w:t>et manipulation</w:t>
      </w:r>
    </w:p>
    <w:p w14:paraId="3AB4ABE3" w14:textId="77777777" w:rsidR="001E592A" w:rsidRPr="00EE32E5" w:rsidRDefault="001E592A" w:rsidP="001E592A">
      <w:pPr>
        <w:suppressAutoHyphens/>
        <w:rPr>
          <w:i/>
          <w:noProof/>
          <w:color w:val="808080"/>
          <w:sz w:val="24"/>
          <w:szCs w:val="24"/>
        </w:rPr>
      </w:pPr>
      <w:r w:rsidRPr="00EE32E5">
        <w:rPr>
          <w:noProof/>
          <w:sz w:val="24"/>
          <w:szCs w:val="24"/>
        </w:rPr>
        <w:t xml:space="preserve">Tout produit non utilisé ou déchet doit être éliminé conformément </w:t>
      </w:r>
      <w:r w:rsidR="002615F4" w:rsidRPr="00EE32E5">
        <w:rPr>
          <w:noProof/>
          <w:sz w:val="24"/>
          <w:szCs w:val="24"/>
        </w:rPr>
        <w:t>à la réglementation en vigueur.</w:t>
      </w:r>
    </w:p>
    <w:p w14:paraId="4032F5E3" w14:textId="77777777" w:rsidR="001E592A" w:rsidRPr="00EE32E5" w:rsidRDefault="001E592A" w:rsidP="001E592A">
      <w:pPr>
        <w:suppressAutoHyphens/>
        <w:rPr>
          <w:noProof/>
          <w:sz w:val="24"/>
          <w:szCs w:val="24"/>
        </w:rPr>
      </w:pPr>
    </w:p>
    <w:p w14:paraId="7E0FD7CF" w14:textId="77777777" w:rsidR="001E592A" w:rsidRPr="00EE32E5" w:rsidRDefault="001E592A" w:rsidP="001E592A">
      <w:pPr>
        <w:suppressAutoHyphens/>
        <w:rPr>
          <w:noProof/>
          <w:sz w:val="24"/>
          <w:szCs w:val="24"/>
        </w:rPr>
      </w:pPr>
    </w:p>
    <w:p w14:paraId="40D711F1" w14:textId="77777777" w:rsidR="001E592A" w:rsidRPr="00EE32E5" w:rsidRDefault="001E592A" w:rsidP="001E592A">
      <w:pPr>
        <w:suppressAutoHyphens/>
        <w:ind w:left="567" w:hanging="567"/>
        <w:rPr>
          <w:b/>
          <w:noProof/>
          <w:sz w:val="24"/>
          <w:szCs w:val="24"/>
        </w:rPr>
      </w:pPr>
      <w:r w:rsidRPr="00EE32E5">
        <w:rPr>
          <w:b/>
          <w:noProof/>
          <w:sz w:val="24"/>
          <w:szCs w:val="24"/>
        </w:rPr>
        <w:t>7.</w:t>
      </w:r>
      <w:r w:rsidRPr="00EE32E5">
        <w:rPr>
          <w:b/>
          <w:noProof/>
          <w:sz w:val="24"/>
          <w:szCs w:val="24"/>
        </w:rPr>
        <w:tab/>
      </w:r>
      <w:r w:rsidR="002615F4" w:rsidRPr="00EE32E5">
        <w:rPr>
          <w:b/>
          <w:noProof/>
          <w:sz w:val="24"/>
          <w:szCs w:val="24"/>
        </w:rPr>
        <w:t xml:space="preserve">DISPENSATION </w:t>
      </w:r>
    </w:p>
    <w:p w14:paraId="15D81A34" w14:textId="77777777" w:rsidR="00C71CF6" w:rsidRPr="00EE32E5" w:rsidRDefault="00C71CF6" w:rsidP="001E592A">
      <w:pPr>
        <w:suppressAutoHyphens/>
        <w:ind w:left="567" w:hanging="567"/>
        <w:rPr>
          <w:b/>
          <w:noProof/>
          <w:sz w:val="24"/>
          <w:szCs w:val="24"/>
        </w:rPr>
      </w:pPr>
    </w:p>
    <w:p w14:paraId="1E71F397" w14:textId="77777777" w:rsidR="002615F4" w:rsidRPr="00EE32E5" w:rsidRDefault="00F75B4C" w:rsidP="00CA4300">
      <w:pPr>
        <w:ind w:firstLine="360"/>
        <w:rPr>
          <w:sz w:val="24"/>
          <w:szCs w:val="24"/>
        </w:rPr>
      </w:pPr>
      <w:r w:rsidRPr="00EE32E5">
        <w:rPr>
          <w:sz w:val="24"/>
          <w:szCs w:val="24"/>
        </w:rPr>
        <w:fldChar w:fldCharType="begin">
          <w:ffData>
            <w:name w:val="CaseACocher1"/>
            <w:enabled/>
            <w:calcOnExit w:val="0"/>
            <w:checkBox>
              <w:sizeAuto/>
              <w:default w:val="0"/>
            </w:checkBox>
          </w:ffData>
        </w:fldChar>
      </w:r>
      <w:bookmarkStart w:id="1" w:name="CaseACocher1"/>
      <w:r w:rsidR="002615F4" w:rsidRPr="00EE32E5">
        <w:rPr>
          <w:sz w:val="24"/>
          <w:szCs w:val="24"/>
        </w:rPr>
        <w:instrText xml:space="preserve"> FORMCHECKBOX </w:instrText>
      </w:r>
      <w:r w:rsidR="00D40D74">
        <w:rPr>
          <w:sz w:val="24"/>
          <w:szCs w:val="24"/>
        </w:rPr>
      </w:r>
      <w:r w:rsidR="00D40D74">
        <w:rPr>
          <w:sz w:val="24"/>
          <w:szCs w:val="24"/>
        </w:rPr>
        <w:fldChar w:fldCharType="separate"/>
      </w:r>
      <w:r w:rsidRPr="00EE32E5">
        <w:rPr>
          <w:sz w:val="24"/>
          <w:szCs w:val="24"/>
        </w:rPr>
        <w:fldChar w:fldCharType="end"/>
      </w:r>
      <w:bookmarkEnd w:id="1"/>
      <w:r w:rsidR="002615F4" w:rsidRPr="00EE32E5">
        <w:rPr>
          <w:sz w:val="24"/>
          <w:szCs w:val="24"/>
        </w:rPr>
        <w:t xml:space="preserve"> Vente sans ordonnance</w:t>
      </w:r>
      <w:r w:rsidR="002615F4" w:rsidRPr="00EE32E5">
        <w:rPr>
          <w:sz w:val="24"/>
          <w:szCs w:val="24"/>
        </w:rPr>
        <w:tab/>
      </w:r>
      <w:r w:rsidR="002615F4" w:rsidRPr="00EE32E5">
        <w:rPr>
          <w:sz w:val="24"/>
          <w:szCs w:val="24"/>
        </w:rPr>
        <w:tab/>
      </w:r>
      <w:bookmarkStart w:id="2" w:name="CaseACocher2"/>
      <w:r w:rsidRPr="00EE32E5">
        <w:rPr>
          <w:sz w:val="24"/>
          <w:szCs w:val="24"/>
        </w:rPr>
        <w:fldChar w:fldCharType="begin">
          <w:ffData>
            <w:name w:val="CaseACocher2"/>
            <w:enabled/>
            <w:calcOnExit w:val="0"/>
            <w:checkBox>
              <w:sizeAuto/>
              <w:default w:val="1"/>
            </w:checkBox>
          </w:ffData>
        </w:fldChar>
      </w:r>
      <w:r w:rsidR="002615F4" w:rsidRPr="00EE32E5">
        <w:rPr>
          <w:sz w:val="24"/>
          <w:szCs w:val="24"/>
        </w:rPr>
        <w:instrText xml:space="preserve"> FORMCHECKBOX </w:instrText>
      </w:r>
      <w:r w:rsidR="00D40D74">
        <w:rPr>
          <w:sz w:val="24"/>
          <w:szCs w:val="24"/>
        </w:rPr>
      </w:r>
      <w:r w:rsidR="00D40D74">
        <w:rPr>
          <w:sz w:val="24"/>
          <w:szCs w:val="24"/>
        </w:rPr>
        <w:fldChar w:fldCharType="separate"/>
      </w:r>
      <w:r w:rsidRPr="00EE32E5">
        <w:rPr>
          <w:sz w:val="24"/>
          <w:szCs w:val="24"/>
        </w:rPr>
        <w:fldChar w:fldCharType="end"/>
      </w:r>
      <w:bookmarkEnd w:id="2"/>
      <w:r w:rsidR="002615F4" w:rsidRPr="00EE32E5">
        <w:rPr>
          <w:sz w:val="24"/>
          <w:szCs w:val="24"/>
        </w:rPr>
        <w:t xml:space="preserve"> Vente sur ordonnance </w:t>
      </w:r>
    </w:p>
    <w:p w14:paraId="149AB243" w14:textId="77777777" w:rsidR="00C71CF6" w:rsidRPr="00EE32E5" w:rsidRDefault="00C71CF6" w:rsidP="001E592A">
      <w:pPr>
        <w:suppressAutoHyphens/>
        <w:rPr>
          <w:noProof/>
          <w:sz w:val="24"/>
          <w:szCs w:val="24"/>
        </w:rPr>
      </w:pPr>
      <w:r w:rsidRPr="00EE32E5">
        <w:rPr>
          <w:noProof/>
          <w:sz w:val="24"/>
          <w:szCs w:val="24"/>
        </w:rPr>
        <w:tab/>
      </w:r>
    </w:p>
    <w:p w14:paraId="0DB575FB" w14:textId="77777777" w:rsidR="001E592A" w:rsidRPr="00EE32E5" w:rsidRDefault="00C71CF6" w:rsidP="001E592A">
      <w:pPr>
        <w:suppressAutoHyphens/>
        <w:rPr>
          <w:noProof/>
          <w:sz w:val="24"/>
          <w:szCs w:val="24"/>
        </w:rPr>
      </w:pPr>
      <w:r w:rsidRPr="00EE32E5">
        <w:rPr>
          <w:noProof/>
          <w:sz w:val="24"/>
          <w:szCs w:val="24"/>
        </w:rPr>
        <w:t xml:space="preserve">       Liste I.</w:t>
      </w:r>
      <w:r w:rsidRPr="00EE32E5">
        <w:rPr>
          <w:noProof/>
          <w:sz w:val="24"/>
          <w:szCs w:val="24"/>
        </w:rPr>
        <w:tab/>
      </w:r>
    </w:p>
    <w:p w14:paraId="057BD629" w14:textId="77777777" w:rsidR="001E592A" w:rsidRPr="00EE32E5" w:rsidRDefault="001E592A" w:rsidP="001E592A">
      <w:pPr>
        <w:suppressAutoHyphens/>
        <w:rPr>
          <w:noProof/>
          <w:sz w:val="24"/>
          <w:szCs w:val="24"/>
        </w:rPr>
      </w:pPr>
    </w:p>
    <w:p w14:paraId="7AD38A4E" w14:textId="77777777" w:rsidR="001E592A" w:rsidRPr="00EE32E5" w:rsidRDefault="002615F4" w:rsidP="001E592A">
      <w:pPr>
        <w:suppressAutoHyphens/>
        <w:ind w:left="567" w:hanging="567"/>
        <w:rPr>
          <w:b/>
          <w:noProof/>
          <w:sz w:val="24"/>
          <w:szCs w:val="24"/>
        </w:rPr>
      </w:pPr>
      <w:r w:rsidRPr="00EE32E5">
        <w:rPr>
          <w:b/>
          <w:noProof/>
          <w:sz w:val="24"/>
          <w:szCs w:val="24"/>
        </w:rPr>
        <w:t>8.</w:t>
      </w:r>
      <w:r w:rsidRPr="00EE32E5">
        <w:rPr>
          <w:b/>
          <w:noProof/>
          <w:sz w:val="24"/>
          <w:szCs w:val="24"/>
        </w:rPr>
        <w:tab/>
        <w:t>NOM ET ADRESSE DU TITULAIRE DE L’AMM</w:t>
      </w:r>
    </w:p>
    <w:p w14:paraId="206DC102" w14:textId="77777777" w:rsidR="002615F4" w:rsidRPr="00EE32E5" w:rsidRDefault="002615F4" w:rsidP="001E592A">
      <w:pPr>
        <w:suppressAutoHyphens/>
        <w:ind w:left="567" w:hanging="567"/>
        <w:rPr>
          <w:b/>
          <w:noProof/>
          <w:sz w:val="24"/>
          <w:szCs w:val="24"/>
        </w:rPr>
      </w:pPr>
    </w:p>
    <w:p w14:paraId="2D922825" w14:textId="77777777" w:rsidR="002615F4" w:rsidRPr="00EE32E5" w:rsidRDefault="00FD1FB1" w:rsidP="00CA4C37">
      <w:pPr>
        <w:widowControl w:val="0"/>
        <w:rPr>
          <w:rFonts w:cs="Century Gothic"/>
          <w:snapToGrid w:val="0"/>
          <w:sz w:val="24"/>
          <w:szCs w:val="24"/>
        </w:rPr>
      </w:pPr>
      <w:r w:rsidRPr="00EE32E5">
        <w:rPr>
          <w:rFonts w:cs="Century Gothic"/>
          <w:snapToGrid w:val="0"/>
          <w:sz w:val="24"/>
          <w:szCs w:val="24"/>
        </w:rPr>
        <w:t xml:space="preserve">EXPHAR </w:t>
      </w:r>
      <w:proofErr w:type="spellStart"/>
      <w:r w:rsidR="002615F4" w:rsidRPr="00EE32E5">
        <w:rPr>
          <w:rFonts w:cs="Century Gothic"/>
          <w:snapToGrid w:val="0"/>
          <w:sz w:val="24"/>
          <w:szCs w:val="24"/>
        </w:rPr>
        <w:t>s.a.</w:t>
      </w:r>
      <w:proofErr w:type="spellEnd"/>
    </w:p>
    <w:p w14:paraId="5B1AD2AE" w14:textId="1AD9475A" w:rsidR="00C71CF6" w:rsidRPr="00EE32E5" w:rsidRDefault="000038EB" w:rsidP="00CA4C37">
      <w:pPr>
        <w:widowControl w:val="0"/>
        <w:rPr>
          <w:bCs/>
          <w:sz w:val="24"/>
          <w:szCs w:val="24"/>
        </w:rPr>
      </w:pPr>
      <w:r w:rsidRPr="00EE32E5">
        <w:rPr>
          <w:bCs/>
          <w:sz w:val="24"/>
          <w:szCs w:val="24"/>
        </w:rPr>
        <w:t xml:space="preserve">Zoning Industriel de Nivelles Sud, </w:t>
      </w:r>
      <w:r w:rsidR="00FA5C4F">
        <w:rPr>
          <w:bCs/>
          <w:sz w:val="24"/>
          <w:szCs w:val="24"/>
        </w:rPr>
        <w:t>Z</w:t>
      </w:r>
      <w:r w:rsidR="00FA5C4F" w:rsidRPr="00EE32E5">
        <w:rPr>
          <w:bCs/>
          <w:sz w:val="24"/>
          <w:szCs w:val="24"/>
        </w:rPr>
        <w:t xml:space="preserve">one </w:t>
      </w:r>
      <w:r w:rsidRPr="00EE32E5">
        <w:rPr>
          <w:bCs/>
          <w:sz w:val="24"/>
          <w:szCs w:val="24"/>
        </w:rPr>
        <w:t xml:space="preserve">II </w:t>
      </w:r>
      <w:r w:rsidR="00C71CF6" w:rsidRPr="00EE32E5">
        <w:rPr>
          <w:bCs/>
          <w:sz w:val="24"/>
          <w:szCs w:val="24"/>
        </w:rPr>
        <w:br/>
      </w:r>
      <w:r w:rsidRPr="00EE32E5">
        <w:rPr>
          <w:bCs/>
          <w:sz w:val="24"/>
          <w:szCs w:val="24"/>
        </w:rPr>
        <w:t>Av</w:t>
      </w:r>
      <w:r w:rsidR="00C71CF6" w:rsidRPr="00EE32E5">
        <w:rPr>
          <w:bCs/>
          <w:sz w:val="24"/>
          <w:szCs w:val="24"/>
        </w:rPr>
        <w:t>enue</w:t>
      </w:r>
      <w:r w:rsidRPr="00EE32E5">
        <w:rPr>
          <w:bCs/>
          <w:sz w:val="24"/>
          <w:szCs w:val="24"/>
        </w:rPr>
        <w:t xml:space="preserve"> Thomas Edison 105 </w:t>
      </w:r>
    </w:p>
    <w:p w14:paraId="2F1142BD" w14:textId="77777777" w:rsidR="000038EB" w:rsidRPr="00EE32E5" w:rsidRDefault="000038EB" w:rsidP="00CA4C37">
      <w:pPr>
        <w:widowControl w:val="0"/>
        <w:rPr>
          <w:bCs/>
          <w:sz w:val="24"/>
          <w:szCs w:val="24"/>
        </w:rPr>
      </w:pPr>
      <w:r w:rsidRPr="00EE32E5">
        <w:rPr>
          <w:bCs/>
          <w:sz w:val="24"/>
          <w:szCs w:val="24"/>
        </w:rPr>
        <w:t xml:space="preserve">1402 </w:t>
      </w:r>
      <w:proofErr w:type="spellStart"/>
      <w:r w:rsidRPr="00EE32E5">
        <w:rPr>
          <w:bCs/>
          <w:sz w:val="24"/>
          <w:szCs w:val="24"/>
        </w:rPr>
        <w:t>Thines</w:t>
      </w:r>
      <w:proofErr w:type="spellEnd"/>
      <w:r w:rsidRPr="00EE32E5">
        <w:rPr>
          <w:bCs/>
          <w:sz w:val="24"/>
          <w:szCs w:val="24"/>
        </w:rPr>
        <w:t xml:space="preserve"> (</w:t>
      </w:r>
      <w:r w:rsidR="00C71CF6" w:rsidRPr="00EE32E5">
        <w:rPr>
          <w:bCs/>
          <w:sz w:val="24"/>
          <w:szCs w:val="24"/>
        </w:rPr>
        <w:t>Belgique)</w:t>
      </w:r>
    </w:p>
    <w:p w14:paraId="443A2B38" w14:textId="1C9311F4" w:rsidR="002615F4" w:rsidRPr="00EE32E5" w:rsidRDefault="00C71CF6" w:rsidP="00CA4C37">
      <w:pPr>
        <w:widowControl w:val="0"/>
        <w:rPr>
          <w:rFonts w:cs="Century Gothic"/>
          <w:snapToGrid w:val="0"/>
          <w:sz w:val="24"/>
          <w:szCs w:val="24"/>
        </w:rPr>
      </w:pPr>
      <w:r w:rsidRPr="00EE32E5">
        <w:rPr>
          <w:rFonts w:cs="Century Gothic"/>
          <w:snapToGrid w:val="0"/>
          <w:sz w:val="24"/>
          <w:szCs w:val="24"/>
        </w:rPr>
        <w:t xml:space="preserve">Tel: </w:t>
      </w:r>
      <w:r w:rsidR="00FA5C4F">
        <w:rPr>
          <w:rFonts w:cs="Century Gothic"/>
          <w:snapToGrid w:val="0"/>
          <w:sz w:val="24"/>
          <w:szCs w:val="24"/>
        </w:rPr>
        <w:t>+</w:t>
      </w:r>
      <w:r w:rsidR="000038EB" w:rsidRPr="00EE32E5">
        <w:rPr>
          <w:rFonts w:cs="Century Gothic"/>
          <w:snapToGrid w:val="0"/>
          <w:sz w:val="24"/>
          <w:szCs w:val="24"/>
        </w:rPr>
        <w:t>32 67 68 84 05</w:t>
      </w:r>
    </w:p>
    <w:p w14:paraId="0698E607" w14:textId="51247157" w:rsidR="002615F4" w:rsidRPr="00EE32E5" w:rsidRDefault="002615F4" w:rsidP="00CA4C37">
      <w:pPr>
        <w:widowControl w:val="0"/>
        <w:rPr>
          <w:rFonts w:cs="Century Gothic"/>
          <w:snapToGrid w:val="0"/>
          <w:sz w:val="24"/>
          <w:szCs w:val="24"/>
        </w:rPr>
      </w:pPr>
      <w:r w:rsidRPr="00EE32E5">
        <w:rPr>
          <w:rFonts w:cs="Century Gothic"/>
          <w:snapToGrid w:val="0"/>
          <w:sz w:val="24"/>
          <w:szCs w:val="24"/>
        </w:rPr>
        <w:t>Fax</w:t>
      </w:r>
      <w:r w:rsidR="00C71CF6" w:rsidRPr="00EE32E5">
        <w:rPr>
          <w:rFonts w:cs="Century Gothic"/>
          <w:snapToGrid w:val="0"/>
          <w:sz w:val="24"/>
          <w:szCs w:val="24"/>
        </w:rPr>
        <w:t>:</w:t>
      </w:r>
      <w:r w:rsidR="00FA5C4F">
        <w:rPr>
          <w:rFonts w:cs="Century Gothic"/>
          <w:snapToGrid w:val="0"/>
          <w:sz w:val="24"/>
          <w:szCs w:val="24"/>
        </w:rPr>
        <w:t>+</w:t>
      </w:r>
      <w:r w:rsidR="000038EB" w:rsidRPr="00EE32E5">
        <w:rPr>
          <w:rFonts w:cs="Century Gothic"/>
          <w:snapToGrid w:val="0"/>
          <w:sz w:val="24"/>
          <w:szCs w:val="24"/>
        </w:rPr>
        <w:t>32 67 68 84 19</w:t>
      </w:r>
    </w:p>
    <w:p w14:paraId="32BD567D" w14:textId="77777777" w:rsidR="001E592A" w:rsidRPr="00EE32E5" w:rsidRDefault="001E592A" w:rsidP="001E592A">
      <w:pPr>
        <w:suppressAutoHyphens/>
        <w:rPr>
          <w:noProof/>
          <w:sz w:val="24"/>
          <w:szCs w:val="24"/>
        </w:rPr>
      </w:pPr>
    </w:p>
    <w:p w14:paraId="24ABB8E0" w14:textId="77777777" w:rsidR="001E592A" w:rsidRPr="00EE32E5" w:rsidRDefault="001E592A" w:rsidP="001E592A">
      <w:pPr>
        <w:suppressAutoHyphens/>
        <w:rPr>
          <w:noProof/>
          <w:sz w:val="24"/>
          <w:szCs w:val="24"/>
        </w:rPr>
      </w:pPr>
    </w:p>
    <w:p w14:paraId="6AE03D71" w14:textId="77777777" w:rsidR="001E592A" w:rsidRPr="00EE32E5" w:rsidRDefault="002615F4" w:rsidP="001E592A">
      <w:pPr>
        <w:suppressAutoHyphens/>
        <w:ind w:left="567" w:hanging="567"/>
        <w:rPr>
          <w:b/>
          <w:noProof/>
          <w:sz w:val="24"/>
          <w:szCs w:val="24"/>
        </w:rPr>
      </w:pPr>
      <w:r w:rsidRPr="00EE32E5">
        <w:rPr>
          <w:b/>
          <w:noProof/>
          <w:sz w:val="24"/>
          <w:szCs w:val="24"/>
        </w:rPr>
        <w:t>9.</w:t>
      </w:r>
      <w:r w:rsidRPr="00EE32E5">
        <w:rPr>
          <w:b/>
          <w:noProof/>
          <w:sz w:val="24"/>
          <w:szCs w:val="24"/>
        </w:rPr>
        <w:tab/>
        <w:t>NOM ET ADRESSE DU FABRICANT</w:t>
      </w:r>
    </w:p>
    <w:p w14:paraId="37A2109C" w14:textId="77777777" w:rsidR="002615F4" w:rsidRPr="00EE32E5" w:rsidRDefault="002615F4" w:rsidP="001E592A">
      <w:pPr>
        <w:suppressAutoHyphens/>
        <w:ind w:left="567" w:hanging="567"/>
        <w:rPr>
          <w:b/>
          <w:noProof/>
          <w:sz w:val="24"/>
          <w:szCs w:val="24"/>
        </w:rPr>
      </w:pPr>
    </w:p>
    <w:p w14:paraId="5F64148D" w14:textId="77777777" w:rsidR="002615F4" w:rsidRPr="00EE32E5" w:rsidRDefault="00FD1FB1" w:rsidP="00CA4300">
      <w:pPr>
        <w:rPr>
          <w:sz w:val="24"/>
          <w:szCs w:val="24"/>
          <w:lang w:val="en-GB"/>
        </w:rPr>
      </w:pPr>
      <w:r w:rsidRPr="00EE32E5">
        <w:rPr>
          <w:sz w:val="24"/>
          <w:szCs w:val="24"/>
          <w:lang w:val="en-GB"/>
        </w:rPr>
        <w:t>GRACURE</w:t>
      </w:r>
      <w:r w:rsidR="002615F4" w:rsidRPr="00EE32E5">
        <w:rPr>
          <w:sz w:val="24"/>
          <w:szCs w:val="24"/>
          <w:lang w:val="en-GB"/>
        </w:rPr>
        <w:t xml:space="preserve"> Pharmaceuticals Ltd.,</w:t>
      </w:r>
    </w:p>
    <w:p w14:paraId="1D7543EF" w14:textId="77777777" w:rsidR="002615F4" w:rsidRPr="00EE32E5" w:rsidRDefault="002615F4" w:rsidP="002615F4">
      <w:pPr>
        <w:rPr>
          <w:sz w:val="24"/>
          <w:szCs w:val="24"/>
          <w:lang w:val="en-GB"/>
        </w:rPr>
      </w:pPr>
      <w:r w:rsidRPr="00EE32E5">
        <w:rPr>
          <w:sz w:val="24"/>
          <w:szCs w:val="24"/>
          <w:lang w:val="en-GB"/>
        </w:rPr>
        <w:t>Uni</w:t>
      </w:r>
      <w:r w:rsidR="006977B5" w:rsidRPr="00EE32E5">
        <w:rPr>
          <w:bCs/>
          <w:sz w:val="24"/>
          <w:szCs w:val="24"/>
          <w:lang w:val="en-GB"/>
        </w:rPr>
        <w:t>t</w:t>
      </w:r>
      <w:r w:rsidRPr="00EE32E5">
        <w:rPr>
          <w:bCs/>
          <w:sz w:val="24"/>
          <w:szCs w:val="24"/>
          <w:lang w:val="en-GB"/>
        </w:rPr>
        <w:t>:</w:t>
      </w:r>
      <w:r w:rsidR="00C71CF6" w:rsidRPr="00EE32E5">
        <w:rPr>
          <w:sz w:val="24"/>
          <w:szCs w:val="24"/>
          <w:lang w:val="en-GB"/>
        </w:rPr>
        <w:t xml:space="preserve"> </w:t>
      </w:r>
      <w:r w:rsidRPr="00EE32E5">
        <w:rPr>
          <w:sz w:val="24"/>
          <w:szCs w:val="24"/>
          <w:lang w:val="en-GB"/>
        </w:rPr>
        <w:t>E-1105, Industrial Area, Phase-III,</w:t>
      </w:r>
    </w:p>
    <w:p w14:paraId="36BBF214" w14:textId="77777777" w:rsidR="00C71CF6" w:rsidRPr="00EE32E5" w:rsidRDefault="002615F4" w:rsidP="00CA4300">
      <w:pPr>
        <w:rPr>
          <w:sz w:val="24"/>
          <w:szCs w:val="24"/>
          <w:lang w:val="en-GB"/>
        </w:rPr>
      </w:pPr>
      <w:proofErr w:type="spellStart"/>
      <w:r w:rsidRPr="00EE32E5">
        <w:rPr>
          <w:sz w:val="24"/>
          <w:szCs w:val="24"/>
          <w:lang w:val="en-GB"/>
        </w:rPr>
        <w:t>Bhiwadi</w:t>
      </w:r>
      <w:proofErr w:type="spellEnd"/>
      <w:r w:rsidRPr="00EE32E5">
        <w:rPr>
          <w:sz w:val="24"/>
          <w:szCs w:val="24"/>
          <w:lang w:val="en-GB"/>
        </w:rPr>
        <w:t>, Dist</w:t>
      </w:r>
      <w:r w:rsidR="00C71CF6" w:rsidRPr="00EE32E5">
        <w:rPr>
          <w:sz w:val="24"/>
          <w:szCs w:val="24"/>
          <w:lang w:val="en-GB"/>
        </w:rPr>
        <w:t>rict</w:t>
      </w:r>
      <w:r w:rsidRPr="00EE32E5">
        <w:rPr>
          <w:sz w:val="24"/>
          <w:szCs w:val="24"/>
          <w:lang w:val="en-GB"/>
        </w:rPr>
        <w:t xml:space="preserve"> </w:t>
      </w:r>
      <w:proofErr w:type="spellStart"/>
      <w:r w:rsidRPr="00EE32E5">
        <w:rPr>
          <w:sz w:val="24"/>
          <w:szCs w:val="24"/>
          <w:lang w:val="en-GB"/>
        </w:rPr>
        <w:t>Alwar</w:t>
      </w:r>
      <w:proofErr w:type="spellEnd"/>
      <w:r w:rsidRPr="00EE32E5">
        <w:rPr>
          <w:sz w:val="24"/>
          <w:szCs w:val="24"/>
          <w:lang w:val="en-GB"/>
        </w:rPr>
        <w:t xml:space="preserve"> (</w:t>
      </w:r>
      <w:r w:rsidR="00C71CF6" w:rsidRPr="00EE32E5">
        <w:rPr>
          <w:sz w:val="24"/>
          <w:szCs w:val="24"/>
          <w:lang w:val="en-GB"/>
        </w:rPr>
        <w:t>Rajasthan</w:t>
      </w:r>
      <w:r w:rsidRPr="00EE32E5">
        <w:rPr>
          <w:sz w:val="24"/>
          <w:szCs w:val="24"/>
          <w:lang w:val="en-GB"/>
        </w:rPr>
        <w:t>)</w:t>
      </w:r>
    </w:p>
    <w:p w14:paraId="6342C354" w14:textId="77777777" w:rsidR="002615F4" w:rsidRPr="00EE32E5" w:rsidRDefault="00C71CF6" w:rsidP="00CA4300">
      <w:pPr>
        <w:rPr>
          <w:sz w:val="24"/>
          <w:szCs w:val="24"/>
          <w:lang w:val="en-GB"/>
        </w:rPr>
      </w:pPr>
      <w:proofErr w:type="spellStart"/>
      <w:r w:rsidRPr="00EE32E5">
        <w:rPr>
          <w:sz w:val="24"/>
          <w:szCs w:val="24"/>
          <w:lang w:val="en-GB"/>
        </w:rPr>
        <w:t>Inde</w:t>
      </w:r>
      <w:proofErr w:type="spellEnd"/>
    </w:p>
    <w:p w14:paraId="134C5418" w14:textId="2EA39742" w:rsidR="002615F4" w:rsidRPr="00EE32E5" w:rsidRDefault="00F75B4C" w:rsidP="00CA4300">
      <w:pPr>
        <w:rPr>
          <w:snapToGrid w:val="0"/>
          <w:sz w:val="24"/>
          <w:szCs w:val="24"/>
          <w:lang w:val="en-US"/>
        </w:rPr>
      </w:pPr>
      <w:r w:rsidRPr="00EE32E5">
        <w:rPr>
          <w:snapToGrid w:val="0"/>
          <w:sz w:val="24"/>
          <w:szCs w:val="24"/>
          <w:lang w:val="en-US"/>
        </w:rPr>
        <w:t>Phone</w:t>
      </w:r>
      <w:r w:rsidRPr="00EE32E5">
        <w:rPr>
          <w:snapToGrid w:val="0"/>
          <w:sz w:val="24"/>
          <w:szCs w:val="24"/>
          <w:lang w:val="en-US"/>
        </w:rPr>
        <w:tab/>
      </w:r>
      <w:r w:rsidR="00FA5C4F">
        <w:rPr>
          <w:snapToGrid w:val="0"/>
          <w:sz w:val="24"/>
          <w:szCs w:val="24"/>
          <w:lang w:val="en-US"/>
        </w:rPr>
        <w:t>+</w:t>
      </w:r>
      <w:r w:rsidRPr="00EE32E5">
        <w:rPr>
          <w:snapToGrid w:val="0"/>
          <w:sz w:val="24"/>
          <w:szCs w:val="24"/>
          <w:lang w:val="en-US"/>
        </w:rPr>
        <w:t>91.11.25.92.07.48</w:t>
      </w:r>
    </w:p>
    <w:p w14:paraId="7242E9BE" w14:textId="54EE7C58" w:rsidR="001E592A" w:rsidRPr="00EE32E5" w:rsidRDefault="000D4F7F" w:rsidP="00CA4300">
      <w:pPr>
        <w:rPr>
          <w:noProof/>
          <w:sz w:val="24"/>
          <w:szCs w:val="24"/>
        </w:rPr>
      </w:pPr>
      <w:r w:rsidRPr="00EE32E5">
        <w:rPr>
          <w:snapToGrid w:val="0"/>
          <w:sz w:val="24"/>
          <w:szCs w:val="24"/>
        </w:rPr>
        <w:t>Fax</w:t>
      </w:r>
      <w:r w:rsidRPr="00EE32E5">
        <w:rPr>
          <w:snapToGrid w:val="0"/>
          <w:sz w:val="24"/>
          <w:szCs w:val="24"/>
        </w:rPr>
        <w:tab/>
      </w:r>
      <w:r w:rsidR="00FA5C4F">
        <w:rPr>
          <w:snapToGrid w:val="0"/>
          <w:sz w:val="24"/>
          <w:szCs w:val="24"/>
        </w:rPr>
        <w:t>+</w:t>
      </w:r>
      <w:r w:rsidRPr="00EE32E5">
        <w:rPr>
          <w:snapToGrid w:val="0"/>
          <w:sz w:val="24"/>
          <w:szCs w:val="24"/>
        </w:rPr>
        <w:t>91</w:t>
      </w:r>
      <w:r w:rsidR="00FD1FB1" w:rsidRPr="00EE32E5">
        <w:rPr>
          <w:snapToGrid w:val="0"/>
          <w:sz w:val="24"/>
          <w:szCs w:val="24"/>
        </w:rPr>
        <w:t>.</w:t>
      </w:r>
      <w:r w:rsidRPr="00EE32E5">
        <w:rPr>
          <w:snapToGrid w:val="0"/>
          <w:sz w:val="24"/>
          <w:szCs w:val="24"/>
        </w:rPr>
        <w:t>11</w:t>
      </w:r>
      <w:r w:rsidR="00FD1FB1" w:rsidRPr="00EE32E5">
        <w:rPr>
          <w:snapToGrid w:val="0"/>
          <w:sz w:val="24"/>
          <w:szCs w:val="24"/>
        </w:rPr>
        <w:t>.</w:t>
      </w:r>
      <w:r w:rsidRPr="00EE32E5">
        <w:rPr>
          <w:snapToGrid w:val="0"/>
          <w:sz w:val="24"/>
          <w:szCs w:val="24"/>
        </w:rPr>
        <w:t>25</w:t>
      </w:r>
      <w:r w:rsidR="00FD1FB1" w:rsidRPr="00EE32E5">
        <w:rPr>
          <w:snapToGrid w:val="0"/>
          <w:sz w:val="24"/>
          <w:szCs w:val="24"/>
        </w:rPr>
        <w:t>.</w:t>
      </w:r>
      <w:r w:rsidRPr="00EE32E5">
        <w:rPr>
          <w:snapToGrid w:val="0"/>
          <w:sz w:val="24"/>
          <w:szCs w:val="24"/>
        </w:rPr>
        <w:t>92</w:t>
      </w:r>
      <w:r w:rsidR="00FD1FB1" w:rsidRPr="00EE32E5">
        <w:rPr>
          <w:snapToGrid w:val="0"/>
          <w:sz w:val="24"/>
          <w:szCs w:val="24"/>
        </w:rPr>
        <w:t>.</w:t>
      </w:r>
      <w:r w:rsidRPr="00EE32E5">
        <w:rPr>
          <w:snapToGrid w:val="0"/>
          <w:sz w:val="24"/>
          <w:szCs w:val="24"/>
        </w:rPr>
        <w:t>07</w:t>
      </w:r>
      <w:r w:rsidR="00FD1FB1" w:rsidRPr="00EE32E5">
        <w:rPr>
          <w:snapToGrid w:val="0"/>
          <w:sz w:val="24"/>
          <w:szCs w:val="24"/>
        </w:rPr>
        <w:t>.</w:t>
      </w:r>
      <w:r w:rsidRPr="00EE32E5">
        <w:rPr>
          <w:snapToGrid w:val="0"/>
          <w:sz w:val="24"/>
          <w:szCs w:val="24"/>
        </w:rPr>
        <w:t>47</w:t>
      </w:r>
    </w:p>
    <w:p w14:paraId="0C0E13BD" w14:textId="77777777" w:rsidR="001E592A" w:rsidRPr="00EE32E5" w:rsidRDefault="001E592A" w:rsidP="001E592A">
      <w:pPr>
        <w:suppressAutoHyphens/>
        <w:rPr>
          <w:noProof/>
          <w:sz w:val="24"/>
          <w:szCs w:val="24"/>
        </w:rPr>
      </w:pPr>
    </w:p>
    <w:p w14:paraId="1317FAED" w14:textId="77777777" w:rsidR="001E592A" w:rsidRPr="00EE32E5" w:rsidRDefault="001E592A" w:rsidP="001E592A">
      <w:pPr>
        <w:suppressAutoHyphens/>
        <w:rPr>
          <w:noProof/>
          <w:sz w:val="24"/>
          <w:szCs w:val="24"/>
        </w:rPr>
      </w:pPr>
    </w:p>
    <w:p w14:paraId="1A021198" w14:textId="77777777" w:rsidR="001E592A" w:rsidRPr="00EE32E5" w:rsidRDefault="001E592A" w:rsidP="001E592A">
      <w:pPr>
        <w:suppressAutoHyphens/>
        <w:rPr>
          <w:b/>
          <w:noProof/>
          <w:sz w:val="24"/>
          <w:szCs w:val="24"/>
        </w:rPr>
      </w:pPr>
      <w:r w:rsidRPr="00EE32E5">
        <w:rPr>
          <w:b/>
          <w:noProof/>
          <w:sz w:val="24"/>
          <w:szCs w:val="24"/>
        </w:rPr>
        <w:t>10.</w:t>
      </w:r>
      <w:r w:rsidRPr="00EE32E5">
        <w:rPr>
          <w:b/>
          <w:noProof/>
          <w:sz w:val="24"/>
          <w:szCs w:val="24"/>
        </w:rPr>
        <w:tab/>
        <w:t>DATE DE MISE A JOUR DU TEXTE</w:t>
      </w:r>
    </w:p>
    <w:p w14:paraId="5C69B03C" w14:textId="77777777" w:rsidR="001E592A" w:rsidRPr="00EE32E5" w:rsidRDefault="001E592A" w:rsidP="001E592A">
      <w:pPr>
        <w:suppressAutoHyphens/>
        <w:rPr>
          <w:noProof/>
          <w:sz w:val="24"/>
          <w:szCs w:val="24"/>
        </w:rPr>
      </w:pPr>
    </w:p>
    <w:p w14:paraId="5D9ADA97" w14:textId="1F3A404D" w:rsidR="002D55FE" w:rsidRPr="00EE32E5" w:rsidRDefault="00FA5C4F">
      <w:pPr>
        <w:rPr>
          <w:sz w:val="24"/>
          <w:szCs w:val="24"/>
        </w:rPr>
      </w:pPr>
      <w:r>
        <w:rPr>
          <w:noProof/>
          <w:sz w:val="24"/>
          <w:szCs w:val="24"/>
        </w:rPr>
        <w:t>Septembre 2020</w:t>
      </w:r>
      <w:r w:rsidR="00C71CF6" w:rsidRPr="00EE32E5">
        <w:rPr>
          <w:noProof/>
          <w:sz w:val="24"/>
          <w:szCs w:val="24"/>
        </w:rPr>
        <w:t>.</w:t>
      </w:r>
    </w:p>
    <w:sectPr w:rsidR="002D55FE" w:rsidRPr="00EE32E5" w:rsidSect="00EE32E5">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2E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30A9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04CDC"/>
    <w:multiLevelType w:val="multilevel"/>
    <w:tmpl w:val="69DE02FC"/>
    <w:lvl w:ilvl="0">
      <w:start w:val="1"/>
      <w:numFmt w:val="decimal"/>
      <w:pStyle w:val="Titre1"/>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BFE418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373C60"/>
    <w:multiLevelType w:val="hybridMultilevel"/>
    <w:tmpl w:val="687E0F60"/>
    <w:lvl w:ilvl="0" w:tplc="4FF02336">
      <w:start w:val="1"/>
      <w:numFmt w:val="decimal"/>
      <w:lvlText w:val="(%1)"/>
      <w:lvlJc w:val="left"/>
      <w:pPr>
        <w:ind w:left="360" w:hanging="360"/>
      </w:pPr>
      <w:rPr>
        <w:rFonts w:hint="default"/>
        <w:lang w:val="fr-FR"/>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3ED655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D263F8"/>
    <w:multiLevelType w:val="hybridMultilevel"/>
    <w:tmpl w:val="88B4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A233B"/>
    <w:multiLevelType w:val="multilevel"/>
    <w:tmpl w:val="A8AC6374"/>
    <w:lvl w:ilvl="0">
      <w:start w:val="3"/>
      <w:numFmt w:val="decimal"/>
      <w:lvlText w:val="%1"/>
      <w:lvlJc w:val="left"/>
      <w:pPr>
        <w:tabs>
          <w:tab w:val="num" w:pos="1429"/>
        </w:tabs>
        <w:ind w:left="1429" w:hanging="720"/>
      </w:pPr>
      <w:rPr>
        <w:rFonts w:hint="default"/>
      </w:rPr>
    </w:lvl>
    <w:lvl w:ilvl="1">
      <w:start w:val="1"/>
      <w:numFmt w:val="decimal"/>
      <w:pStyle w:val="Titre2"/>
      <w:lvlText w:val="%1.%2"/>
      <w:lvlJc w:val="left"/>
      <w:pPr>
        <w:tabs>
          <w:tab w:val="num" w:pos="2149"/>
        </w:tabs>
        <w:ind w:left="2149" w:hanging="720"/>
      </w:pPr>
      <w:rPr>
        <w:rFonts w:hint="default"/>
      </w:rPr>
    </w:lvl>
    <w:lvl w:ilvl="2">
      <w:start w:val="1"/>
      <w:numFmt w:val="decimal"/>
      <w:pStyle w:val="Titre3"/>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309"/>
        </w:tabs>
        <w:ind w:left="4309" w:hanging="72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109"/>
        </w:tabs>
        <w:ind w:left="6109" w:hanging="108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7909"/>
        </w:tabs>
        <w:ind w:left="7909" w:hanging="1440"/>
      </w:pPr>
      <w:rPr>
        <w:rFonts w:hint="default"/>
      </w:rPr>
    </w:lvl>
  </w:abstractNum>
  <w:abstractNum w:abstractNumId="8" w15:restartNumberingAfterBreak="0">
    <w:nsid w:val="65BE77B9"/>
    <w:multiLevelType w:val="hybridMultilevel"/>
    <w:tmpl w:val="8320FFD8"/>
    <w:lvl w:ilvl="0" w:tplc="5298108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7"/>
  </w:num>
  <w:num w:numId="4">
    <w:abstractNumId w:val="3"/>
  </w:num>
  <w:num w:numId="5">
    <w:abstractNumId w:val="0"/>
  </w:num>
  <w:num w:numId="6">
    <w:abstractNumId w:val="1"/>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F5"/>
    <w:rsid w:val="00000811"/>
    <w:rsid w:val="000038EB"/>
    <w:rsid w:val="00010E3E"/>
    <w:rsid w:val="000373EB"/>
    <w:rsid w:val="000746B4"/>
    <w:rsid w:val="000D4F7F"/>
    <w:rsid w:val="000E488E"/>
    <w:rsid w:val="00113AE3"/>
    <w:rsid w:val="00132AA8"/>
    <w:rsid w:val="001521E8"/>
    <w:rsid w:val="0017422E"/>
    <w:rsid w:val="001B64A1"/>
    <w:rsid w:val="001E592A"/>
    <w:rsid w:val="00202653"/>
    <w:rsid w:val="00207E73"/>
    <w:rsid w:val="00210C46"/>
    <w:rsid w:val="00230014"/>
    <w:rsid w:val="00235B76"/>
    <w:rsid w:val="002360FF"/>
    <w:rsid w:val="002615F4"/>
    <w:rsid w:val="00266EC9"/>
    <w:rsid w:val="00284102"/>
    <w:rsid w:val="002C04C3"/>
    <w:rsid w:val="002D55FE"/>
    <w:rsid w:val="002F07F5"/>
    <w:rsid w:val="00303F19"/>
    <w:rsid w:val="00307783"/>
    <w:rsid w:val="00340CF6"/>
    <w:rsid w:val="00373302"/>
    <w:rsid w:val="003737C9"/>
    <w:rsid w:val="003753FF"/>
    <w:rsid w:val="003A2E4C"/>
    <w:rsid w:val="003B5966"/>
    <w:rsid w:val="003F0F18"/>
    <w:rsid w:val="004009CC"/>
    <w:rsid w:val="004262EC"/>
    <w:rsid w:val="004473E3"/>
    <w:rsid w:val="00471616"/>
    <w:rsid w:val="004970DE"/>
    <w:rsid w:val="004F75F7"/>
    <w:rsid w:val="00534002"/>
    <w:rsid w:val="00545FF0"/>
    <w:rsid w:val="00550C64"/>
    <w:rsid w:val="00555A85"/>
    <w:rsid w:val="00565506"/>
    <w:rsid w:val="00593AE6"/>
    <w:rsid w:val="005F2EB0"/>
    <w:rsid w:val="005F3637"/>
    <w:rsid w:val="005F5B05"/>
    <w:rsid w:val="00625CD0"/>
    <w:rsid w:val="006549DE"/>
    <w:rsid w:val="00676DE7"/>
    <w:rsid w:val="00680A28"/>
    <w:rsid w:val="00681179"/>
    <w:rsid w:val="006977B5"/>
    <w:rsid w:val="006E454A"/>
    <w:rsid w:val="006F0053"/>
    <w:rsid w:val="00702CD7"/>
    <w:rsid w:val="007362FA"/>
    <w:rsid w:val="00736D3C"/>
    <w:rsid w:val="00750CAF"/>
    <w:rsid w:val="007530E7"/>
    <w:rsid w:val="007952AF"/>
    <w:rsid w:val="007B69FA"/>
    <w:rsid w:val="007F7E7C"/>
    <w:rsid w:val="0080637F"/>
    <w:rsid w:val="008132B6"/>
    <w:rsid w:val="00850A7B"/>
    <w:rsid w:val="0087007A"/>
    <w:rsid w:val="00880DAC"/>
    <w:rsid w:val="00884A60"/>
    <w:rsid w:val="00890243"/>
    <w:rsid w:val="00897FF5"/>
    <w:rsid w:val="008B67FA"/>
    <w:rsid w:val="008C359D"/>
    <w:rsid w:val="008C4475"/>
    <w:rsid w:val="009037D6"/>
    <w:rsid w:val="00914DC9"/>
    <w:rsid w:val="00931B43"/>
    <w:rsid w:val="00943E0B"/>
    <w:rsid w:val="00973163"/>
    <w:rsid w:val="009840DD"/>
    <w:rsid w:val="00993B4E"/>
    <w:rsid w:val="009D6F9C"/>
    <w:rsid w:val="009F6A1E"/>
    <w:rsid w:val="00A03277"/>
    <w:rsid w:val="00A058D2"/>
    <w:rsid w:val="00A123B6"/>
    <w:rsid w:val="00A33B69"/>
    <w:rsid w:val="00A86852"/>
    <w:rsid w:val="00AA4160"/>
    <w:rsid w:val="00AA73EA"/>
    <w:rsid w:val="00AB0B37"/>
    <w:rsid w:val="00AD5FA1"/>
    <w:rsid w:val="00AE4EBE"/>
    <w:rsid w:val="00B42A98"/>
    <w:rsid w:val="00B64D3A"/>
    <w:rsid w:val="00B71619"/>
    <w:rsid w:val="00B951C3"/>
    <w:rsid w:val="00B958F6"/>
    <w:rsid w:val="00BB5B6C"/>
    <w:rsid w:val="00BC25C8"/>
    <w:rsid w:val="00BD5517"/>
    <w:rsid w:val="00BD60F4"/>
    <w:rsid w:val="00BD6B56"/>
    <w:rsid w:val="00C008F8"/>
    <w:rsid w:val="00C151CE"/>
    <w:rsid w:val="00C23AF5"/>
    <w:rsid w:val="00C45FB2"/>
    <w:rsid w:val="00C57E75"/>
    <w:rsid w:val="00C66659"/>
    <w:rsid w:val="00C71CF6"/>
    <w:rsid w:val="00CA4300"/>
    <w:rsid w:val="00CA4C37"/>
    <w:rsid w:val="00CB0B2C"/>
    <w:rsid w:val="00CE7805"/>
    <w:rsid w:val="00CF7BA1"/>
    <w:rsid w:val="00D01888"/>
    <w:rsid w:val="00D166DA"/>
    <w:rsid w:val="00D276D8"/>
    <w:rsid w:val="00D40D74"/>
    <w:rsid w:val="00D46C76"/>
    <w:rsid w:val="00D70922"/>
    <w:rsid w:val="00D71866"/>
    <w:rsid w:val="00D95578"/>
    <w:rsid w:val="00DE1539"/>
    <w:rsid w:val="00DF1A7E"/>
    <w:rsid w:val="00E04F00"/>
    <w:rsid w:val="00E16833"/>
    <w:rsid w:val="00E20485"/>
    <w:rsid w:val="00E228F4"/>
    <w:rsid w:val="00E536D1"/>
    <w:rsid w:val="00E80597"/>
    <w:rsid w:val="00E920A3"/>
    <w:rsid w:val="00E9329B"/>
    <w:rsid w:val="00ED2148"/>
    <w:rsid w:val="00EE32E5"/>
    <w:rsid w:val="00EE6014"/>
    <w:rsid w:val="00EE693F"/>
    <w:rsid w:val="00F23D88"/>
    <w:rsid w:val="00F73F25"/>
    <w:rsid w:val="00F75B4C"/>
    <w:rsid w:val="00F807A0"/>
    <w:rsid w:val="00F86888"/>
    <w:rsid w:val="00F94AB4"/>
    <w:rsid w:val="00FA5C4F"/>
    <w:rsid w:val="00FC6B86"/>
    <w:rsid w:val="00FD1FB1"/>
    <w:rsid w:val="00FD6721"/>
    <w:rsid w:val="00FF15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931"/>
  <w15:docId w15:val="{C8DCB2F3-FE44-4886-B24B-53D7168C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E592A"/>
    <w:rPr>
      <w:sz w:val="22"/>
      <w:lang w:eastAsia="en-US"/>
    </w:rPr>
  </w:style>
  <w:style w:type="paragraph" w:styleId="Titre1">
    <w:name w:val="heading 1"/>
    <w:basedOn w:val="Normal"/>
    <w:next w:val="Normal"/>
    <w:link w:val="Titre1Car"/>
    <w:qFormat/>
    <w:rsid w:val="00D95578"/>
    <w:pPr>
      <w:keepNext/>
      <w:numPr>
        <w:numId w:val="1"/>
      </w:numPr>
      <w:spacing w:before="240" w:after="60"/>
      <w:outlineLvl w:val="0"/>
    </w:pPr>
    <w:rPr>
      <w:b/>
      <w:bCs/>
      <w:kern w:val="32"/>
    </w:rPr>
  </w:style>
  <w:style w:type="paragraph" w:styleId="Titre2">
    <w:name w:val="heading 2"/>
    <w:basedOn w:val="Normal"/>
    <w:next w:val="Normal"/>
    <w:link w:val="Titre2Car"/>
    <w:qFormat/>
    <w:rsid w:val="00D95578"/>
    <w:pPr>
      <w:keepNext/>
      <w:numPr>
        <w:ilvl w:val="1"/>
        <w:numId w:val="3"/>
      </w:numPr>
      <w:tabs>
        <w:tab w:val="left" w:pos="900"/>
      </w:tabs>
      <w:overflowPunct w:val="0"/>
      <w:autoSpaceDE w:val="0"/>
      <w:autoSpaceDN w:val="0"/>
      <w:adjustRightInd w:val="0"/>
      <w:textAlignment w:val="baseline"/>
      <w:outlineLvl w:val="1"/>
    </w:pPr>
    <w:rPr>
      <w:lang w:val="en-GB"/>
    </w:rPr>
  </w:style>
  <w:style w:type="paragraph" w:styleId="Titre3">
    <w:name w:val="heading 3"/>
    <w:basedOn w:val="Normal"/>
    <w:next w:val="Normal"/>
    <w:link w:val="Titre3Car"/>
    <w:qFormat/>
    <w:rsid w:val="00D95578"/>
    <w:pPr>
      <w:keepNext/>
      <w:numPr>
        <w:ilvl w:val="2"/>
        <w:numId w:val="3"/>
      </w:numPr>
      <w:overflowPunct w:val="0"/>
      <w:autoSpaceDE w:val="0"/>
      <w:autoSpaceDN w:val="0"/>
      <w:adjustRightInd w:val="0"/>
      <w:textAlignment w:val="baseline"/>
      <w:outlineLvl w:val="2"/>
    </w:pPr>
    <w:rPr>
      <w:lang w:val="en-GB"/>
    </w:rPr>
  </w:style>
  <w:style w:type="paragraph" w:styleId="Titre4">
    <w:name w:val="heading 4"/>
    <w:basedOn w:val="Normal"/>
    <w:next w:val="Normal"/>
    <w:link w:val="Titre4Car"/>
    <w:unhideWhenUsed/>
    <w:qFormat/>
    <w:rsid w:val="00D95578"/>
    <w:pPr>
      <w:keepNext/>
      <w:spacing w:before="240" w:after="60"/>
      <w:outlineLvl w:val="3"/>
    </w:pPr>
    <w:rPr>
      <w:rFonts w:ascii="Calibri" w:hAnsi="Calibri"/>
      <w:b/>
      <w:bCs/>
      <w:sz w:val="28"/>
      <w:szCs w:val="28"/>
    </w:rPr>
  </w:style>
  <w:style w:type="paragraph" w:styleId="Titre5">
    <w:name w:val="heading 5"/>
    <w:basedOn w:val="Normal"/>
    <w:next w:val="Normal"/>
    <w:link w:val="Titre5Car"/>
    <w:unhideWhenUsed/>
    <w:qFormat/>
    <w:rsid w:val="00D95578"/>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3733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5578"/>
    <w:rPr>
      <w:b/>
      <w:bCs/>
      <w:kern w:val="32"/>
      <w:sz w:val="24"/>
      <w:szCs w:val="24"/>
      <w:lang w:val="fr-FR" w:eastAsia="fr-FR"/>
    </w:rPr>
  </w:style>
  <w:style w:type="character" w:customStyle="1" w:styleId="Titre2Car">
    <w:name w:val="Titre 2 Car"/>
    <w:basedOn w:val="Policepardfaut"/>
    <w:link w:val="Titre2"/>
    <w:rsid w:val="00D95578"/>
    <w:rPr>
      <w:sz w:val="24"/>
      <w:lang w:val="en-GB" w:eastAsia="fr-FR"/>
    </w:rPr>
  </w:style>
  <w:style w:type="character" w:customStyle="1" w:styleId="Titre3Car">
    <w:name w:val="Titre 3 Car"/>
    <w:basedOn w:val="Policepardfaut"/>
    <w:link w:val="Titre3"/>
    <w:rsid w:val="00D95578"/>
    <w:rPr>
      <w:sz w:val="24"/>
      <w:lang w:val="en-GB" w:eastAsia="fr-FR"/>
    </w:rPr>
  </w:style>
  <w:style w:type="character" w:customStyle="1" w:styleId="Titre4Car">
    <w:name w:val="Titre 4 Car"/>
    <w:basedOn w:val="Policepardfaut"/>
    <w:link w:val="Titre4"/>
    <w:rsid w:val="00D95578"/>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semiHidden/>
    <w:rsid w:val="00D95578"/>
    <w:rPr>
      <w:rFonts w:ascii="Calibri" w:eastAsia="Times New Roman" w:hAnsi="Calibri" w:cs="Times New Roman"/>
      <w:b/>
      <w:bCs/>
      <w:i/>
      <w:iCs/>
      <w:sz w:val="26"/>
      <w:szCs w:val="26"/>
      <w:lang w:val="fr-FR" w:eastAsia="fr-FR"/>
    </w:rPr>
  </w:style>
  <w:style w:type="character" w:styleId="Lienhypertexte">
    <w:name w:val="Hyperlink"/>
    <w:basedOn w:val="Policepardfaut"/>
    <w:rsid w:val="001E592A"/>
    <w:rPr>
      <w:color w:val="0000FF"/>
      <w:u w:val="single"/>
    </w:rPr>
  </w:style>
  <w:style w:type="paragraph" w:styleId="Retraitcorpsdetexte">
    <w:name w:val="Body Text Indent"/>
    <w:basedOn w:val="Normal"/>
    <w:link w:val="RetraitcorpsdetexteCar"/>
    <w:rsid w:val="001E592A"/>
    <w:pPr>
      <w:suppressAutoHyphens/>
      <w:ind w:left="567" w:hanging="567"/>
    </w:pPr>
    <w:rPr>
      <w:bCs/>
    </w:rPr>
  </w:style>
  <w:style w:type="character" w:customStyle="1" w:styleId="RetraitcorpsdetexteCar">
    <w:name w:val="Retrait corps de texte Car"/>
    <w:basedOn w:val="Policepardfaut"/>
    <w:link w:val="Retraitcorpsdetexte"/>
    <w:rsid w:val="001E592A"/>
    <w:rPr>
      <w:bCs/>
      <w:sz w:val="22"/>
      <w:lang w:val="fr-FR" w:eastAsia="en-US"/>
    </w:rPr>
  </w:style>
  <w:style w:type="paragraph" w:styleId="Corpsdetexte">
    <w:name w:val="Body Text"/>
    <w:basedOn w:val="Normal"/>
    <w:link w:val="CorpsdetexteCar"/>
    <w:uiPriority w:val="99"/>
    <w:semiHidden/>
    <w:unhideWhenUsed/>
    <w:rsid w:val="001E592A"/>
    <w:pPr>
      <w:spacing w:after="120"/>
    </w:pPr>
  </w:style>
  <w:style w:type="character" w:customStyle="1" w:styleId="CorpsdetexteCar">
    <w:name w:val="Corps de texte Car"/>
    <w:basedOn w:val="Policepardfaut"/>
    <w:link w:val="Corpsdetexte"/>
    <w:uiPriority w:val="99"/>
    <w:semiHidden/>
    <w:rsid w:val="001E592A"/>
    <w:rPr>
      <w:sz w:val="22"/>
      <w:lang w:val="fr-FR" w:eastAsia="en-US"/>
    </w:rPr>
  </w:style>
  <w:style w:type="paragraph" w:styleId="Textedebulles">
    <w:name w:val="Balloon Text"/>
    <w:basedOn w:val="Normal"/>
    <w:link w:val="TextedebullesCar"/>
    <w:uiPriority w:val="99"/>
    <w:semiHidden/>
    <w:unhideWhenUsed/>
    <w:rsid w:val="00307783"/>
    <w:rPr>
      <w:rFonts w:ascii="Tahoma" w:hAnsi="Tahoma" w:cs="Tahoma"/>
      <w:sz w:val="16"/>
      <w:szCs w:val="16"/>
    </w:rPr>
  </w:style>
  <w:style w:type="character" w:customStyle="1" w:styleId="TextedebullesCar">
    <w:name w:val="Texte de bulles Car"/>
    <w:basedOn w:val="Policepardfaut"/>
    <w:link w:val="Textedebulles"/>
    <w:uiPriority w:val="99"/>
    <w:semiHidden/>
    <w:rsid w:val="00307783"/>
    <w:rPr>
      <w:rFonts w:ascii="Tahoma" w:hAnsi="Tahoma" w:cs="Tahoma"/>
      <w:sz w:val="16"/>
      <w:szCs w:val="16"/>
      <w:lang w:val="fr-FR" w:eastAsia="en-US"/>
    </w:rPr>
  </w:style>
  <w:style w:type="paragraph" w:styleId="Paragraphedeliste">
    <w:name w:val="List Paragraph"/>
    <w:basedOn w:val="Normal"/>
    <w:uiPriority w:val="34"/>
    <w:qFormat/>
    <w:rsid w:val="00307783"/>
    <w:pPr>
      <w:ind w:left="720"/>
      <w:contextualSpacing/>
    </w:pPr>
    <w:rPr>
      <w:sz w:val="20"/>
      <w:lang w:eastAsia="fr-FR"/>
    </w:rPr>
  </w:style>
  <w:style w:type="character" w:customStyle="1" w:styleId="Titre6Car">
    <w:name w:val="Titre 6 Car"/>
    <w:basedOn w:val="Policepardfaut"/>
    <w:link w:val="Titre6"/>
    <w:semiHidden/>
    <w:rsid w:val="00373302"/>
    <w:rPr>
      <w:rFonts w:asciiTheme="majorHAnsi" w:eastAsiaTheme="majorEastAsia" w:hAnsiTheme="majorHAnsi" w:cstheme="majorBidi"/>
      <w:i/>
      <w:iCs/>
      <w:color w:val="243F60" w:themeColor="accent1" w:themeShade="7F"/>
      <w:sz w:val="22"/>
      <w:lang w:val="fr-FR" w:eastAsia="en-US"/>
    </w:rPr>
  </w:style>
  <w:style w:type="paragraph" w:styleId="Corpsdetexte2">
    <w:name w:val="Body Text 2"/>
    <w:basedOn w:val="Normal"/>
    <w:link w:val="Corpsdetexte2Car"/>
    <w:uiPriority w:val="99"/>
    <w:semiHidden/>
    <w:unhideWhenUsed/>
    <w:rsid w:val="002615F4"/>
    <w:pPr>
      <w:spacing w:after="120" w:line="480" w:lineRule="auto"/>
    </w:pPr>
  </w:style>
  <w:style w:type="character" w:customStyle="1" w:styleId="Corpsdetexte2Car">
    <w:name w:val="Corps de texte 2 Car"/>
    <w:basedOn w:val="Policepardfaut"/>
    <w:link w:val="Corpsdetexte2"/>
    <w:uiPriority w:val="99"/>
    <w:semiHidden/>
    <w:rsid w:val="002615F4"/>
    <w:rPr>
      <w:sz w:val="22"/>
      <w:lang w:val="fr-FR" w:eastAsia="en-US"/>
    </w:rPr>
  </w:style>
  <w:style w:type="character" w:styleId="Marquedecommentaire">
    <w:name w:val="annotation reference"/>
    <w:basedOn w:val="Policepardfaut"/>
    <w:uiPriority w:val="99"/>
    <w:semiHidden/>
    <w:unhideWhenUsed/>
    <w:rsid w:val="00CA4300"/>
    <w:rPr>
      <w:sz w:val="16"/>
      <w:szCs w:val="16"/>
    </w:rPr>
  </w:style>
  <w:style w:type="paragraph" w:styleId="Commentaire">
    <w:name w:val="annotation text"/>
    <w:basedOn w:val="Normal"/>
    <w:link w:val="CommentaireCar"/>
    <w:uiPriority w:val="99"/>
    <w:semiHidden/>
    <w:unhideWhenUsed/>
    <w:rsid w:val="00CA4300"/>
    <w:rPr>
      <w:sz w:val="20"/>
    </w:rPr>
  </w:style>
  <w:style w:type="character" w:customStyle="1" w:styleId="CommentaireCar">
    <w:name w:val="Commentaire Car"/>
    <w:basedOn w:val="Policepardfaut"/>
    <w:link w:val="Commentaire"/>
    <w:uiPriority w:val="99"/>
    <w:semiHidden/>
    <w:rsid w:val="00CA4300"/>
    <w:rPr>
      <w:lang w:val="fr-FR" w:eastAsia="en-US"/>
    </w:rPr>
  </w:style>
  <w:style w:type="paragraph" w:styleId="Objetducommentaire">
    <w:name w:val="annotation subject"/>
    <w:basedOn w:val="Commentaire"/>
    <w:next w:val="Commentaire"/>
    <w:link w:val="ObjetducommentaireCar"/>
    <w:uiPriority w:val="99"/>
    <w:semiHidden/>
    <w:unhideWhenUsed/>
    <w:rsid w:val="00CA4300"/>
    <w:rPr>
      <w:b/>
      <w:bCs/>
    </w:rPr>
  </w:style>
  <w:style w:type="character" w:customStyle="1" w:styleId="ObjetducommentaireCar">
    <w:name w:val="Objet du commentaire Car"/>
    <w:basedOn w:val="CommentaireCar"/>
    <w:link w:val="Objetducommentaire"/>
    <w:uiPriority w:val="99"/>
    <w:semiHidden/>
    <w:rsid w:val="00CA4300"/>
    <w:rPr>
      <w:b/>
      <w:bCs/>
      <w:lang w:val="fr-FR" w:eastAsia="en-US"/>
    </w:rPr>
  </w:style>
  <w:style w:type="table" w:styleId="Grilledutableau">
    <w:name w:val="Table Grid"/>
    <w:basedOn w:val="TableauNormal"/>
    <w:uiPriority w:val="59"/>
    <w:rsid w:val="0015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71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634E9-5E05-4930-9126-8AC2F99A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3658</Words>
  <Characters>20124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mgombe</dc:creator>
  <cp:lastModifiedBy>Cécile  Bottai</cp:lastModifiedBy>
  <cp:revision>5</cp:revision>
  <dcterms:created xsi:type="dcterms:W3CDTF">2020-09-25T14:02:00Z</dcterms:created>
  <dcterms:modified xsi:type="dcterms:W3CDTF">2021-08-26T14:11:00Z</dcterms:modified>
</cp:coreProperties>
</file>